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86" w:rsidRPr="00BB1857" w:rsidRDefault="00ED1686" w:rsidP="00ED1686">
      <w:pPr>
        <w:rPr>
          <w:lang w:val="el-GR"/>
        </w:rPr>
      </w:pPr>
    </w:p>
    <w:tbl>
      <w:tblPr>
        <w:tblpPr w:leftFromText="180" w:rightFromText="180" w:vertAnchor="page" w:horzAnchor="margin" w:tblpXSpec="center" w:tblpY="1426"/>
        <w:tblW w:w="9926" w:type="dxa"/>
        <w:tblLayout w:type="fixed"/>
        <w:tblLook w:val="01E0"/>
      </w:tblPr>
      <w:tblGrid>
        <w:gridCol w:w="2835"/>
        <w:gridCol w:w="6793"/>
        <w:gridCol w:w="298"/>
      </w:tblGrid>
      <w:tr w:rsidR="00ED625A" w:rsidRPr="00814E55"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625A" w:rsidRPr="00ED1686" w:rsidRDefault="00ED625A" w:rsidP="00ED625A">
            <w:pPr>
              <w:rPr>
                <w:rFonts w:ascii="Arial" w:hAnsi="Arial" w:cs="Arial"/>
                <w:b/>
                <w:lang w:val="en-GB"/>
              </w:rPr>
            </w:pPr>
            <w:r w:rsidRPr="00ED1686">
              <w:rPr>
                <w:rFonts w:ascii="Arial" w:hAnsi="Arial" w:cs="Arial"/>
                <w:b/>
                <w:sz w:val="22"/>
                <w:lang w:val="en-GB"/>
              </w:rPr>
              <w:t>Module title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625A" w:rsidRPr="00E310D1" w:rsidRDefault="00ED625A" w:rsidP="00ED625A">
            <w:pPr>
              <w:pStyle w:val="Heading1"/>
              <w:jc w:val="both"/>
              <w:rPr>
                <w:rFonts w:cs="Arial"/>
                <w:i/>
                <w:lang w:val="en-US" w:eastAsia="en-US"/>
              </w:rPr>
            </w:pPr>
            <w:r w:rsidRPr="00E310D1">
              <w:rPr>
                <w:i/>
                <w:sz w:val="22"/>
                <w:szCs w:val="22"/>
                <w:lang w:val="en-US"/>
              </w:rPr>
              <w:t>The Economic Rationale of Pricing Practices Contravening Free Competition Law Provisions</w:t>
            </w:r>
          </w:p>
        </w:tc>
      </w:tr>
      <w:tr w:rsidR="00ED625A" w:rsidRPr="00E13EE4"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625A" w:rsidRPr="00ED1686" w:rsidRDefault="00ED625A" w:rsidP="00ED625A">
            <w:pPr>
              <w:rPr>
                <w:rFonts w:ascii="Arial" w:hAnsi="Arial" w:cs="Arial"/>
                <w:b/>
                <w:lang w:val="en-GB"/>
              </w:rPr>
            </w:pPr>
            <w:r w:rsidRPr="00ED1686">
              <w:rPr>
                <w:rFonts w:ascii="Arial" w:hAnsi="Arial" w:cs="Arial"/>
                <w:b/>
                <w:sz w:val="22"/>
                <w:lang w:val="en-GB"/>
              </w:rPr>
              <w:t>Dates</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625A" w:rsidRPr="00B55121" w:rsidRDefault="00ED625A" w:rsidP="00ED625A">
            <w:pPr>
              <w:rPr>
                <w:rFonts w:ascii="Arial" w:hAnsi="Arial" w:cs="Arial"/>
              </w:rPr>
            </w:pPr>
            <w:r>
              <w:rPr>
                <w:rFonts w:ascii="Arial" w:hAnsi="Arial" w:cs="Arial"/>
                <w:sz w:val="22"/>
                <w:szCs w:val="22"/>
              </w:rPr>
              <w:t>Friday</w:t>
            </w:r>
            <w:r>
              <w:rPr>
                <w:rFonts w:ascii="Arial" w:hAnsi="Arial" w:cs="Arial"/>
                <w:sz w:val="22"/>
                <w:szCs w:val="22"/>
              </w:rPr>
              <w:t xml:space="preserve">, </w:t>
            </w:r>
            <w:r w:rsidRPr="00B55121">
              <w:rPr>
                <w:rFonts w:ascii="Arial" w:hAnsi="Arial" w:cs="Arial"/>
                <w:sz w:val="22"/>
                <w:szCs w:val="22"/>
                <w:lang w:val="el-GR"/>
              </w:rPr>
              <w:t>2</w:t>
            </w:r>
            <w:r>
              <w:rPr>
                <w:rFonts w:ascii="Arial" w:hAnsi="Arial" w:cs="Arial"/>
                <w:sz w:val="22"/>
                <w:szCs w:val="22"/>
              </w:rPr>
              <w:t>7</w:t>
            </w:r>
            <w:r w:rsidRPr="00B55121">
              <w:rPr>
                <w:rFonts w:ascii="Arial" w:hAnsi="Arial" w:cs="Arial"/>
                <w:sz w:val="22"/>
                <w:szCs w:val="22"/>
                <w:vertAlign w:val="superscript"/>
              </w:rPr>
              <w:t>th</w:t>
            </w:r>
            <w:r>
              <w:rPr>
                <w:rFonts w:ascii="Arial" w:hAnsi="Arial" w:cs="Arial"/>
                <w:sz w:val="22"/>
                <w:szCs w:val="22"/>
              </w:rPr>
              <w:t xml:space="preserve"> October</w:t>
            </w:r>
            <w:r w:rsidRPr="00B55121">
              <w:rPr>
                <w:rFonts w:ascii="Arial" w:hAnsi="Arial" w:cs="Arial"/>
                <w:sz w:val="22"/>
                <w:szCs w:val="22"/>
              </w:rPr>
              <w:t xml:space="preserve"> 2017</w:t>
            </w:r>
          </w:p>
        </w:tc>
      </w:tr>
      <w:tr w:rsidR="00ED625A" w:rsidRPr="00814E55"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625A" w:rsidRPr="00ED1686" w:rsidRDefault="00ED625A" w:rsidP="00ED625A">
            <w:pPr>
              <w:rPr>
                <w:rFonts w:ascii="Arial" w:hAnsi="Arial" w:cs="Arial"/>
                <w:b/>
                <w:lang w:val="en-GB"/>
              </w:rPr>
            </w:pPr>
            <w:r w:rsidRPr="00ED1686">
              <w:rPr>
                <w:rFonts w:ascii="Arial" w:hAnsi="Arial" w:cs="Arial"/>
                <w:b/>
                <w:sz w:val="22"/>
                <w:lang w:val="en-GB"/>
              </w:rPr>
              <w:t>Instructor</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625A" w:rsidRPr="00F572E0" w:rsidRDefault="00ED625A" w:rsidP="00ED625A">
            <w:pPr>
              <w:shd w:val="clear" w:color="auto" w:fill="FFFFFF"/>
              <w:spacing w:line="0" w:lineRule="auto"/>
              <w:rPr>
                <w:rFonts w:ascii="Arial" w:hAnsi="Arial" w:cs="Arial"/>
                <w:color w:val="000000"/>
                <w:lang w:eastAsia="el-GR"/>
              </w:rPr>
            </w:pPr>
            <w:r w:rsidRPr="00F572E0">
              <w:rPr>
                <w:rFonts w:ascii="Arial" w:hAnsi="Arial" w:cs="Arial"/>
                <w:color w:val="000000"/>
                <w:sz w:val="22"/>
                <w:szCs w:val="22"/>
                <w:lang w:eastAsia="el-GR"/>
              </w:rPr>
              <w:t xml:space="preserve">Dr. </w:t>
            </w:r>
            <w:proofErr w:type="spellStart"/>
            <w:r w:rsidRPr="00F572E0">
              <w:rPr>
                <w:rFonts w:ascii="Arial" w:hAnsi="Arial" w:cs="Arial"/>
                <w:color w:val="000000"/>
                <w:sz w:val="22"/>
                <w:szCs w:val="22"/>
                <w:lang w:eastAsia="el-GR"/>
              </w:rPr>
              <w:t>LazarosGrigoriadis</w:t>
            </w:r>
            <w:proofErr w:type="spellEnd"/>
            <w:r w:rsidRPr="00F572E0">
              <w:rPr>
                <w:rFonts w:ascii="Arial" w:hAnsi="Arial" w:cs="Arial"/>
                <w:color w:val="000000"/>
                <w:sz w:val="22"/>
                <w:szCs w:val="22"/>
                <w:lang w:eastAsia="el-GR"/>
              </w:rPr>
              <w:t xml:space="preserve">, Lecturer, Faculty of Law of </w:t>
            </w:r>
            <w:proofErr w:type="spellStart"/>
            <w:r w:rsidRPr="00F572E0">
              <w:rPr>
                <w:rFonts w:ascii="Arial" w:hAnsi="Arial" w:cs="Arial"/>
                <w:color w:val="000000"/>
                <w:sz w:val="22"/>
                <w:szCs w:val="22"/>
                <w:lang w:eastAsia="el-GR"/>
              </w:rPr>
              <w:t>Neapolis</w:t>
            </w:r>
            <w:proofErr w:type="spellEnd"/>
          </w:p>
          <w:p w:rsidR="00ED625A" w:rsidRPr="00F572E0" w:rsidRDefault="00ED625A" w:rsidP="00ED625A">
            <w:pPr>
              <w:shd w:val="clear" w:color="auto" w:fill="FFFFFF"/>
              <w:spacing w:line="0" w:lineRule="auto"/>
              <w:rPr>
                <w:rFonts w:ascii="Arial" w:hAnsi="Arial" w:cs="Arial"/>
                <w:color w:val="000000"/>
                <w:lang w:eastAsia="el-GR"/>
              </w:rPr>
            </w:pPr>
            <w:r w:rsidRPr="00F572E0">
              <w:rPr>
                <w:rFonts w:ascii="Arial" w:hAnsi="Arial" w:cs="Arial"/>
                <w:color w:val="000000"/>
                <w:sz w:val="22"/>
                <w:szCs w:val="22"/>
                <w:lang w:eastAsia="el-GR"/>
              </w:rPr>
              <w:t xml:space="preserve">University of </w:t>
            </w:r>
            <w:proofErr w:type="spellStart"/>
            <w:r w:rsidRPr="00F572E0">
              <w:rPr>
                <w:rFonts w:ascii="Arial" w:hAnsi="Arial" w:cs="Arial"/>
                <w:color w:val="000000"/>
                <w:sz w:val="22"/>
                <w:szCs w:val="22"/>
                <w:lang w:eastAsia="el-GR"/>
              </w:rPr>
              <w:t>Pafos</w:t>
            </w:r>
            <w:proofErr w:type="spellEnd"/>
            <w:r w:rsidRPr="00F572E0">
              <w:rPr>
                <w:rFonts w:ascii="Arial" w:hAnsi="Arial" w:cs="Arial"/>
                <w:color w:val="000000"/>
                <w:sz w:val="22"/>
                <w:szCs w:val="22"/>
                <w:lang w:eastAsia="el-GR"/>
              </w:rPr>
              <w:t>, Cyprus</w:t>
            </w:r>
          </w:p>
          <w:p w:rsidR="00ED625A" w:rsidRPr="00F572E0" w:rsidRDefault="00ED625A" w:rsidP="00ED625A">
            <w:pPr>
              <w:rPr>
                <w:rFonts w:ascii="Arial" w:hAnsi="Arial" w:cs="Arial"/>
              </w:rPr>
            </w:pPr>
            <w:r w:rsidRPr="00F572E0">
              <w:rPr>
                <w:rFonts w:ascii="Arial" w:hAnsi="Arial" w:cs="Arial"/>
                <w:sz w:val="22"/>
                <w:szCs w:val="22"/>
              </w:rPr>
              <w:t>Dr.  Panayiotis Agisilaou, Teaching Fellow at the Open University of Cyprus</w:t>
            </w:r>
          </w:p>
        </w:tc>
      </w:tr>
      <w:tr w:rsidR="00ED1686" w:rsidRPr="00521F0E"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lang w:val="en-GB"/>
              </w:rPr>
            </w:pPr>
            <w:r w:rsidRPr="00ED1686">
              <w:rPr>
                <w:rFonts w:ascii="Arial" w:hAnsi="Arial" w:cs="Arial"/>
                <w:b/>
                <w:sz w:val="22"/>
                <w:lang w:val="en-GB"/>
              </w:rPr>
              <w:t>Module description</w:t>
            </w:r>
          </w:p>
        </w:tc>
      </w:tr>
      <w:tr w:rsidR="00ED625A" w:rsidRPr="00564D9B" w:rsidTr="00ED1686">
        <w:trPr>
          <w:trHeight w:val="170"/>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625A" w:rsidRPr="00B2002E" w:rsidRDefault="00ED625A" w:rsidP="00ED625A">
            <w:pPr>
              <w:spacing w:before="120" w:after="120"/>
              <w:jc w:val="both"/>
              <w:rPr>
                <w:rFonts w:ascii="Arial" w:hAnsi="Arial" w:cs="Arial"/>
                <w:sz w:val="22"/>
              </w:rPr>
            </w:pPr>
            <w:r w:rsidRPr="00B2002E">
              <w:rPr>
                <w:rFonts w:ascii="Arial" w:hAnsi="Arial" w:cs="Arial"/>
                <w:sz w:val="22"/>
              </w:rPr>
              <w:t>The module focuses on the economics of exploitative and exclusionary pricing abuses of market dominance. In particular, the module will cover pricing practices such as excessive pricing, predatory pricing and margin squeeze.</w:t>
            </w:r>
          </w:p>
        </w:tc>
      </w:tr>
      <w:tr w:rsidR="00ED1686" w:rsidRPr="00521F0E"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rPr>
            </w:pPr>
            <w:r w:rsidRPr="00ED1686">
              <w:rPr>
                <w:rFonts w:ascii="Arial" w:hAnsi="Arial" w:cs="Arial"/>
                <w:b/>
                <w:sz w:val="22"/>
                <w:lang w:val="en-GB"/>
              </w:rPr>
              <w:t>Training outcomes</w:t>
            </w:r>
          </w:p>
        </w:tc>
      </w:tr>
      <w:tr w:rsidR="00ED625A" w:rsidRPr="00564D9B" w:rsidTr="002D403D">
        <w:trPr>
          <w:trHeight w:val="95"/>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625A" w:rsidRPr="00B2002E" w:rsidRDefault="00ED625A" w:rsidP="00ED625A">
            <w:pPr>
              <w:spacing w:before="120" w:after="120"/>
              <w:jc w:val="both"/>
              <w:rPr>
                <w:rFonts w:ascii="Arial" w:hAnsi="Arial" w:cs="Arial"/>
                <w:noProof/>
                <w:sz w:val="22"/>
              </w:rPr>
            </w:pPr>
            <w:r w:rsidRPr="00B2002E">
              <w:rPr>
                <w:rFonts w:ascii="Arial" w:hAnsi="Arial" w:cs="Arial"/>
                <w:noProof/>
                <w:sz w:val="22"/>
              </w:rPr>
              <w:t xml:space="preserve">Understand the various tests developed by Courts in order to prove excessing pricing, predatory pricing and margin squeeze. </w:t>
            </w:r>
          </w:p>
          <w:p w:rsidR="00ED625A" w:rsidRPr="00B2002E" w:rsidRDefault="00ED625A" w:rsidP="00ED625A">
            <w:pPr>
              <w:spacing w:before="120" w:after="120"/>
              <w:jc w:val="both"/>
              <w:rPr>
                <w:rFonts w:ascii="Arial" w:hAnsi="Arial" w:cs="Arial"/>
                <w:noProof/>
                <w:sz w:val="22"/>
              </w:rPr>
            </w:pPr>
            <w:r w:rsidRPr="00B2002E">
              <w:rPr>
                <w:rFonts w:ascii="Arial" w:hAnsi="Arial" w:cs="Arial"/>
                <w:noProof/>
                <w:sz w:val="22"/>
              </w:rPr>
              <w:t xml:space="preserve">Familiarize with the fundamental economic principles underpinning the interpretation and the implementation of the above mentioned tests. </w:t>
            </w:r>
          </w:p>
          <w:p w:rsidR="00ED625A" w:rsidRPr="00B2002E" w:rsidRDefault="00ED625A" w:rsidP="00ED625A">
            <w:pPr>
              <w:spacing w:before="120" w:after="120"/>
              <w:jc w:val="both"/>
              <w:rPr>
                <w:rFonts w:ascii="Arial" w:hAnsi="Arial" w:cs="Arial"/>
                <w:noProof/>
                <w:sz w:val="22"/>
              </w:rPr>
            </w:pPr>
            <w:r w:rsidRPr="00B2002E">
              <w:rPr>
                <w:rFonts w:ascii="Arial" w:hAnsi="Arial" w:cs="Arial"/>
                <w:noProof/>
                <w:sz w:val="22"/>
              </w:rPr>
              <w:t>Recognize and apprehend basic economic concepts related to pricing abuses.</w:t>
            </w:r>
          </w:p>
        </w:tc>
      </w:tr>
      <w:tr w:rsidR="00ED1686" w:rsidRPr="00B70287" w:rsidTr="00ED1686">
        <w:trPr>
          <w:trHeight w:val="55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lang w:val="en-GB"/>
              </w:rPr>
            </w:pPr>
          </w:p>
          <w:p w:rsidR="00ED1686" w:rsidRPr="00ED1686" w:rsidRDefault="00ED1686" w:rsidP="00ED1686">
            <w:pPr>
              <w:rPr>
                <w:rFonts w:ascii="Arial" w:hAnsi="Arial" w:cs="Arial"/>
                <w:b/>
                <w:lang w:val="en-GB"/>
              </w:rPr>
            </w:pPr>
          </w:p>
          <w:p w:rsidR="00ED1686" w:rsidRPr="00ED1686" w:rsidRDefault="00ED1686" w:rsidP="00ED1686">
            <w:pPr>
              <w:rPr>
                <w:rFonts w:ascii="Arial" w:hAnsi="Arial" w:cs="Arial"/>
                <w:b/>
                <w:lang w:val="en-GB"/>
              </w:rPr>
            </w:pPr>
          </w:p>
          <w:p w:rsidR="00ED1686" w:rsidRPr="00ED1686" w:rsidRDefault="00ED1686" w:rsidP="00ED1686">
            <w:pPr>
              <w:rPr>
                <w:rFonts w:ascii="Arial" w:hAnsi="Arial" w:cs="Arial"/>
                <w:b/>
                <w:lang w:val="en-GB"/>
              </w:rPr>
            </w:pPr>
            <w:r w:rsidRPr="00ED1686">
              <w:rPr>
                <w:rFonts w:ascii="Arial" w:hAnsi="Arial" w:cs="Arial"/>
                <w:b/>
                <w:sz w:val="22"/>
                <w:lang w:val="en-GB"/>
              </w:rPr>
              <w:t>Training materials/bibliography</w:t>
            </w:r>
          </w:p>
          <w:p w:rsidR="00ED1686" w:rsidRPr="00ED1686" w:rsidRDefault="00ED1686" w:rsidP="00ED1686">
            <w:pPr>
              <w:rPr>
                <w:rFonts w:ascii="Arial" w:hAnsi="Arial" w:cs="Arial"/>
                <w:b/>
              </w:rPr>
            </w:pPr>
          </w:p>
          <w:p w:rsidR="00ED1686" w:rsidRPr="00ED1686" w:rsidRDefault="00ED1686" w:rsidP="00ED1686">
            <w:pPr>
              <w:rPr>
                <w:rFonts w:ascii="Arial" w:hAnsi="Arial" w:cs="Arial"/>
                <w:b/>
              </w:rPr>
            </w:pP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625A" w:rsidRPr="00B2002E" w:rsidRDefault="00ED625A" w:rsidP="00ED625A">
            <w:pPr>
              <w:rPr>
                <w:rFonts w:ascii="Arial" w:hAnsi="Arial" w:cs="Arial"/>
                <w:sz w:val="22"/>
              </w:rPr>
            </w:pPr>
            <w:r w:rsidRPr="00B2002E">
              <w:rPr>
                <w:rFonts w:ascii="Arial" w:hAnsi="Arial" w:cs="Arial"/>
                <w:sz w:val="22"/>
              </w:rPr>
              <w:t>Case 26 - 75,  General Motors Continental NV v. Commission of the European Communities</w:t>
            </w:r>
          </w:p>
          <w:p w:rsidR="00ED625A" w:rsidRPr="00B2002E" w:rsidRDefault="00ED625A" w:rsidP="00ED625A">
            <w:pPr>
              <w:rPr>
                <w:rFonts w:ascii="Arial" w:hAnsi="Arial" w:cs="Arial"/>
                <w:sz w:val="22"/>
              </w:rPr>
            </w:pPr>
          </w:p>
          <w:p w:rsidR="00ED625A" w:rsidRPr="00B2002E" w:rsidRDefault="00ED625A" w:rsidP="00ED625A">
            <w:pPr>
              <w:rPr>
                <w:rFonts w:ascii="Arial" w:hAnsi="Arial" w:cs="Arial"/>
                <w:sz w:val="22"/>
              </w:rPr>
            </w:pPr>
            <w:r w:rsidRPr="00B2002E">
              <w:rPr>
                <w:rFonts w:ascii="Arial" w:hAnsi="Arial" w:cs="Arial"/>
                <w:sz w:val="22"/>
              </w:rPr>
              <w:t>Case 27 - 76, United Brands v. Commission of the European Communities</w:t>
            </w:r>
          </w:p>
          <w:p w:rsidR="00ED625A" w:rsidRPr="00B2002E" w:rsidRDefault="00ED625A" w:rsidP="00ED625A">
            <w:pPr>
              <w:rPr>
                <w:rFonts w:ascii="Arial" w:hAnsi="Arial" w:cs="Arial"/>
                <w:sz w:val="22"/>
              </w:rPr>
            </w:pPr>
          </w:p>
          <w:p w:rsidR="00ED625A" w:rsidRPr="00B2002E" w:rsidRDefault="00ED625A" w:rsidP="00ED625A">
            <w:pPr>
              <w:rPr>
                <w:rFonts w:ascii="Arial" w:hAnsi="Arial" w:cs="Arial"/>
                <w:sz w:val="22"/>
              </w:rPr>
            </w:pPr>
            <w:r w:rsidRPr="00B2002E">
              <w:rPr>
                <w:rFonts w:ascii="Arial" w:hAnsi="Arial" w:cs="Arial"/>
                <w:sz w:val="22"/>
              </w:rPr>
              <w:t xml:space="preserve">Comp A36.568, </w:t>
            </w:r>
            <w:proofErr w:type="spellStart"/>
            <w:r w:rsidRPr="00B2002E">
              <w:rPr>
                <w:rFonts w:ascii="Arial" w:hAnsi="Arial" w:cs="Arial"/>
                <w:sz w:val="22"/>
              </w:rPr>
              <w:t>Scandlines</w:t>
            </w:r>
            <w:proofErr w:type="spellEnd"/>
            <w:r w:rsidRPr="00B2002E">
              <w:rPr>
                <w:rFonts w:ascii="Arial" w:hAnsi="Arial" w:cs="Arial"/>
                <w:sz w:val="22"/>
              </w:rPr>
              <w:t xml:space="preserve"> </w:t>
            </w:r>
            <w:proofErr w:type="spellStart"/>
            <w:r w:rsidRPr="00B2002E">
              <w:rPr>
                <w:rFonts w:ascii="Arial" w:hAnsi="Arial" w:cs="Arial"/>
                <w:sz w:val="22"/>
              </w:rPr>
              <w:t>Sverige</w:t>
            </w:r>
            <w:proofErr w:type="spellEnd"/>
            <w:r w:rsidRPr="00B2002E">
              <w:rPr>
                <w:rFonts w:ascii="Arial" w:hAnsi="Arial" w:cs="Arial"/>
                <w:sz w:val="22"/>
              </w:rPr>
              <w:t xml:space="preserve"> AB v. Port of Helsingborg</w:t>
            </w:r>
          </w:p>
          <w:p w:rsidR="00ED625A" w:rsidRPr="00B2002E" w:rsidRDefault="00ED625A" w:rsidP="00ED625A">
            <w:pPr>
              <w:rPr>
                <w:rFonts w:ascii="Arial" w:hAnsi="Arial" w:cs="Arial"/>
                <w:sz w:val="22"/>
              </w:rPr>
            </w:pPr>
          </w:p>
          <w:p w:rsidR="00ED625A" w:rsidRPr="00B2002E" w:rsidRDefault="00ED625A" w:rsidP="00ED625A">
            <w:pPr>
              <w:rPr>
                <w:rFonts w:ascii="Arial" w:hAnsi="Arial" w:cs="Arial"/>
                <w:sz w:val="22"/>
                <w:lang w:val="it-IT"/>
              </w:rPr>
            </w:pPr>
            <w:r w:rsidRPr="00B2002E">
              <w:rPr>
                <w:rFonts w:ascii="Arial" w:hAnsi="Arial" w:cs="Arial"/>
                <w:sz w:val="22"/>
                <w:lang w:val="it-IT"/>
              </w:rPr>
              <w:t>Case C-179/90,  Merciconvenzionaliporto di Genova SpA v SiderurgicaGabrielliSpA</w:t>
            </w:r>
          </w:p>
          <w:p w:rsidR="00ED625A" w:rsidRPr="00B2002E" w:rsidRDefault="00ED625A" w:rsidP="00ED625A">
            <w:pPr>
              <w:rPr>
                <w:rFonts w:ascii="Arial" w:hAnsi="Arial" w:cs="Arial"/>
                <w:sz w:val="22"/>
                <w:lang w:val="it-IT"/>
              </w:rPr>
            </w:pPr>
          </w:p>
          <w:p w:rsidR="00ED625A" w:rsidRPr="00B2002E" w:rsidRDefault="00ED625A" w:rsidP="00ED625A">
            <w:pPr>
              <w:rPr>
                <w:rFonts w:ascii="Arial" w:hAnsi="Arial" w:cs="Arial"/>
                <w:sz w:val="22"/>
                <w:lang w:val="it-IT"/>
              </w:rPr>
            </w:pPr>
            <w:r w:rsidRPr="00B2002E">
              <w:rPr>
                <w:rFonts w:ascii="Arial" w:hAnsi="Arial" w:cs="Arial"/>
                <w:sz w:val="22"/>
              </w:rPr>
              <w:t>Case C</w:t>
            </w:r>
            <w:r w:rsidRPr="00B2002E">
              <w:rPr>
                <w:rFonts w:ascii="Cambria Math" w:hAnsi="Cambria Math" w:cs="Arial"/>
                <w:sz w:val="22"/>
              </w:rPr>
              <w:t>‑</w:t>
            </w:r>
            <w:r w:rsidRPr="00B2002E">
              <w:rPr>
                <w:rFonts w:ascii="Arial" w:hAnsi="Arial" w:cs="Arial"/>
                <w:sz w:val="22"/>
              </w:rPr>
              <w:t xml:space="preserve">385/07 </w:t>
            </w:r>
            <w:proofErr w:type="spellStart"/>
            <w:r w:rsidRPr="00B2002E">
              <w:rPr>
                <w:rFonts w:ascii="Arial" w:hAnsi="Arial" w:cs="Arial"/>
                <w:sz w:val="22"/>
              </w:rPr>
              <w:t>P</w:t>
            </w:r>
            <w:proofErr w:type="gramStart"/>
            <w:r w:rsidRPr="00B2002E">
              <w:rPr>
                <w:rFonts w:ascii="Arial" w:hAnsi="Arial" w:cs="Arial"/>
                <w:sz w:val="22"/>
              </w:rPr>
              <w:t>,Der</w:t>
            </w:r>
            <w:proofErr w:type="spellEnd"/>
            <w:proofErr w:type="gramEnd"/>
            <w:r w:rsidRPr="00B2002E">
              <w:rPr>
                <w:rFonts w:ascii="Arial" w:hAnsi="Arial" w:cs="Arial"/>
                <w:sz w:val="22"/>
              </w:rPr>
              <w:t xml:space="preserve"> </w:t>
            </w:r>
            <w:proofErr w:type="spellStart"/>
            <w:r w:rsidRPr="00B2002E">
              <w:rPr>
                <w:rFonts w:ascii="Arial" w:hAnsi="Arial" w:cs="Arial"/>
                <w:sz w:val="22"/>
              </w:rPr>
              <w:t>GrünePunkt</w:t>
            </w:r>
            <w:proofErr w:type="spellEnd"/>
            <w:r w:rsidRPr="00B2002E">
              <w:rPr>
                <w:rFonts w:ascii="Arial" w:hAnsi="Arial" w:cs="Arial"/>
                <w:sz w:val="22"/>
              </w:rPr>
              <w:t xml:space="preserve"> – </w:t>
            </w:r>
            <w:proofErr w:type="spellStart"/>
            <w:r w:rsidRPr="00B2002E">
              <w:rPr>
                <w:rFonts w:ascii="Arial" w:hAnsi="Arial" w:cs="Arial"/>
                <w:sz w:val="22"/>
              </w:rPr>
              <w:t>Duales</w:t>
            </w:r>
            <w:proofErr w:type="spellEnd"/>
            <w:r w:rsidRPr="00B2002E">
              <w:rPr>
                <w:rFonts w:ascii="Arial" w:hAnsi="Arial" w:cs="Arial"/>
                <w:sz w:val="22"/>
              </w:rPr>
              <w:t xml:space="preserve"> System Deutschland GmbH v.  </w:t>
            </w:r>
            <w:r w:rsidRPr="00B2002E">
              <w:rPr>
                <w:rFonts w:ascii="Arial" w:hAnsi="Arial" w:cs="Arial"/>
                <w:sz w:val="22"/>
                <w:lang w:val="it-IT"/>
              </w:rPr>
              <w:t>Commission ofthe European Communities</w:t>
            </w:r>
          </w:p>
          <w:p w:rsidR="00ED625A" w:rsidRPr="00B2002E" w:rsidRDefault="00ED625A" w:rsidP="00ED625A">
            <w:pPr>
              <w:rPr>
                <w:rFonts w:ascii="Arial" w:hAnsi="Arial" w:cs="Arial"/>
                <w:sz w:val="22"/>
                <w:lang w:val="it-IT"/>
              </w:rPr>
            </w:pPr>
          </w:p>
          <w:p w:rsidR="00ED625A" w:rsidRPr="00B2002E" w:rsidRDefault="00ED625A" w:rsidP="00ED625A">
            <w:pPr>
              <w:rPr>
                <w:rFonts w:ascii="Arial" w:hAnsi="Arial" w:cs="Arial"/>
                <w:sz w:val="22"/>
                <w:lang w:val="it-IT"/>
              </w:rPr>
            </w:pPr>
            <w:r w:rsidRPr="00B2002E">
              <w:rPr>
                <w:rFonts w:ascii="Arial" w:hAnsi="Arial" w:cs="Arial"/>
                <w:sz w:val="22"/>
                <w:lang w:val="it-IT"/>
              </w:rPr>
              <w:t>Case C-179/90,Merci Convenzionali Porto di Genova SpAand</w:t>
            </w:r>
          </w:p>
          <w:p w:rsidR="00ED625A" w:rsidRPr="00B2002E" w:rsidRDefault="00ED625A" w:rsidP="00ED625A">
            <w:pPr>
              <w:rPr>
                <w:rFonts w:ascii="Arial" w:hAnsi="Arial" w:cs="Arial"/>
                <w:sz w:val="22"/>
                <w:lang w:val="it-IT"/>
              </w:rPr>
            </w:pPr>
            <w:r w:rsidRPr="00B2002E">
              <w:rPr>
                <w:rFonts w:ascii="Arial" w:hAnsi="Arial" w:cs="Arial"/>
                <w:sz w:val="22"/>
                <w:lang w:val="it-IT"/>
              </w:rPr>
              <w:t>SiderurgicaGabrielliSpA</w:t>
            </w:r>
          </w:p>
          <w:p w:rsidR="00ED625A" w:rsidRPr="00B2002E" w:rsidRDefault="00ED625A" w:rsidP="00ED625A">
            <w:pPr>
              <w:rPr>
                <w:rFonts w:ascii="Arial" w:hAnsi="Arial" w:cs="Arial"/>
                <w:sz w:val="22"/>
                <w:lang w:val="it-IT"/>
              </w:rPr>
            </w:pPr>
          </w:p>
          <w:p w:rsidR="00ED625A" w:rsidRPr="00B2002E" w:rsidRDefault="00ED625A" w:rsidP="00ED625A">
            <w:pPr>
              <w:rPr>
                <w:rFonts w:ascii="Arial" w:hAnsi="Arial" w:cs="Arial"/>
                <w:sz w:val="22"/>
                <w:lang w:val="it-IT"/>
              </w:rPr>
            </w:pPr>
            <w:r w:rsidRPr="00B2002E">
              <w:rPr>
                <w:rFonts w:ascii="Arial" w:hAnsi="Arial" w:cs="Arial"/>
                <w:sz w:val="22"/>
                <w:lang w:val="it-IT"/>
              </w:rPr>
              <w:t>Case C-177/16, Augstākātiesa,AdministratīvolietudepartamentsAutortiesību un komunicēšanāskonsultācijuaģentūra / LatvijasAutoruapvienība v. Konkurencespadome</w:t>
            </w:r>
          </w:p>
          <w:p w:rsidR="00ED625A" w:rsidRPr="00B2002E" w:rsidRDefault="00ED625A" w:rsidP="00ED625A">
            <w:pPr>
              <w:rPr>
                <w:rFonts w:ascii="Arial" w:hAnsi="Arial" w:cs="Arial"/>
                <w:sz w:val="22"/>
                <w:lang w:val="it-IT"/>
              </w:rPr>
            </w:pPr>
          </w:p>
          <w:p w:rsidR="00ED625A" w:rsidRPr="00B2002E" w:rsidRDefault="00ED625A" w:rsidP="00ED625A">
            <w:pPr>
              <w:rPr>
                <w:rFonts w:ascii="Arial" w:hAnsi="Arial" w:cs="Arial"/>
                <w:sz w:val="22"/>
              </w:rPr>
            </w:pPr>
            <w:r w:rsidRPr="00B2002E">
              <w:rPr>
                <w:rFonts w:ascii="Arial" w:hAnsi="Arial" w:cs="Arial"/>
                <w:sz w:val="22"/>
              </w:rPr>
              <w:t xml:space="preserve">Case C 62/86,  </w:t>
            </w:r>
            <w:proofErr w:type="spellStart"/>
            <w:r w:rsidRPr="00B2002E">
              <w:rPr>
                <w:rFonts w:ascii="Arial" w:hAnsi="Arial" w:cs="Arial"/>
                <w:sz w:val="22"/>
              </w:rPr>
              <w:t>AKZOChemie</w:t>
            </w:r>
            <w:proofErr w:type="spellEnd"/>
            <w:r w:rsidRPr="00B2002E">
              <w:rPr>
                <w:rFonts w:ascii="Arial" w:hAnsi="Arial" w:cs="Arial"/>
                <w:sz w:val="22"/>
              </w:rPr>
              <w:t xml:space="preserve"> BV v. Commission of the European Communities</w:t>
            </w:r>
          </w:p>
          <w:p w:rsidR="00ED625A" w:rsidRPr="00B2002E" w:rsidRDefault="00ED625A" w:rsidP="00ED625A">
            <w:pPr>
              <w:rPr>
                <w:rFonts w:ascii="Arial" w:hAnsi="Arial" w:cs="Arial"/>
                <w:sz w:val="22"/>
              </w:rPr>
            </w:pPr>
          </w:p>
          <w:p w:rsidR="006C0966" w:rsidRPr="00ED625A" w:rsidRDefault="00ED625A" w:rsidP="00ED625A">
            <w:pPr>
              <w:rPr>
                <w:rFonts w:ascii="Arial" w:hAnsi="Arial" w:cs="Arial"/>
                <w:sz w:val="22"/>
              </w:rPr>
            </w:pPr>
            <w:r w:rsidRPr="00B2002E">
              <w:rPr>
                <w:rFonts w:ascii="Arial" w:hAnsi="Arial" w:cs="Arial"/>
                <w:sz w:val="22"/>
              </w:rPr>
              <w:t xml:space="preserve">Comp 38.784,  </w:t>
            </w:r>
            <w:proofErr w:type="spellStart"/>
            <w:r w:rsidRPr="00B2002E">
              <w:rPr>
                <w:rFonts w:ascii="Arial" w:hAnsi="Arial" w:cs="Arial"/>
                <w:sz w:val="22"/>
              </w:rPr>
              <w:t>WanadooEspaña</w:t>
            </w:r>
            <w:proofErr w:type="spellEnd"/>
            <w:r w:rsidRPr="00B2002E">
              <w:rPr>
                <w:rFonts w:ascii="Arial" w:hAnsi="Arial" w:cs="Arial"/>
                <w:sz w:val="22"/>
              </w:rPr>
              <w:t xml:space="preserve"> vs. </w:t>
            </w:r>
            <w:proofErr w:type="spellStart"/>
            <w:r w:rsidRPr="00B2002E">
              <w:rPr>
                <w:rFonts w:ascii="Arial" w:hAnsi="Arial" w:cs="Arial"/>
                <w:sz w:val="22"/>
              </w:rPr>
              <w:t>Telefónica</w:t>
            </w:r>
            <w:proofErr w:type="spellEnd"/>
          </w:p>
        </w:tc>
      </w:tr>
      <w:tr w:rsidR="00ED1686" w:rsidRPr="00AC0285" w:rsidTr="00ED625A">
        <w:trPr>
          <w:trHeight w:val="61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625A" w:rsidRDefault="00ED1686" w:rsidP="00ED625A">
            <w:pPr>
              <w:rPr>
                <w:rFonts w:ascii="Arial" w:hAnsi="Arial" w:cs="Arial"/>
                <w:b/>
                <w:lang w:val="en-GB"/>
              </w:rPr>
            </w:pPr>
            <w:r w:rsidRPr="00ED1686">
              <w:rPr>
                <w:rFonts w:ascii="Arial" w:hAnsi="Arial" w:cs="Arial"/>
                <w:b/>
                <w:sz w:val="22"/>
                <w:lang w:val="en-GB"/>
              </w:rPr>
              <w:t>Teaching Methodology</w:t>
            </w:r>
          </w:p>
        </w:tc>
        <w:tc>
          <w:tcPr>
            <w:tcW w:w="6793" w:type="dxa"/>
            <w:tcBorders>
              <w:top w:val="single" w:sz="4" w:space="0" w:color="auto"/>
              <w:left w:val="single" w:sz="4" w:space="0" w:color="auto"/>
              <w:bottom w:val="single" w:sz="4" w:space="0" w:color="auto"/>
            </w:tcBorders>
            <w:vAlign w:val="center"/>
          </w:tcPr>
          <w:p w:rsidR="00BB1857" w:rsidRPr="00A02AF0" w:rsidRDefault="00BB1857" w:rsidP="00ED1686">
            <w:pPr>
              <w:rPr>
                <w:rFonts w:ascii="Arial" w:hAnsi="Arial" w:cs="Arial"/>
              </w:rPr>
            </w:pPr>
            <w:r w:rsidRPr="00A02AF0">
              <w:rPr>
                <w:rFonts w:ascii="Arial" w:hAnsi="Arial" w:cs="Arial"/>
                <w:sz w:val="22"/>
                <w:szCs w:val="22"/>
              </w:rPr>
              <w:t>PowerPoint presentation</w:t>
            </w:r>
          </w:p>
        </w:tc>
        <w:tc>
          <w:tcPr>
            <w:tcW w:w="298" w:type="dxa"/>
            <w:tcBorders>
              <w:top w:val="single" w:sz="4" w:space="0" w:color="auto"/>
              <w:left w:val="nil"/>
              <w:bottom w:val="single" w:sz="4" w:space="0" w:color="auto"/>
              <w:right w:val="single" w:sz="4" w:space="0" w:color="auto"/>
            </w:tcBorders>
            <w:vAlign w:val="center"/>
          </w:tcPr>
          <w:p w:rsidR="00ED1686" w:rsidRPr="002D403D" w:rsidRDefault="00ED1686" w:rsidP="00ED1686">
            <w:pPr>
              <w:rPr>
                <w:rFonts w:ascii="Arial" w:hAnsi="Arial" w:cs="Arial"/>
                <w:lang w:val="en-GB"/>
              </w:rPr>
            </w:pPr>
          </w:p>
        </w:tc>
      </w:tr>
      <w:tr w:rsidR="00ED1686" w:rsidRPr="00E13EE4"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rPr>
            </w:pPr>
            <w:r w:rsidRPr="00ED1686">
              <w:rPr>
                <w:rFonts w:ascii="Arial" w:hAnsi="Arial" w:cs="Arial"/>
                <w:b/>
                <w:sz w:val="22"/>
                <w:lang w:val="en-GB"/>
              </w:rPr>
              <w:t>Language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A02AF0" w:rsidRDefault="006E11EB" w:rsidP="00ED1686">
            <w:pPr>
              <w:rPr>
                <w:rFonts w:ascii="Arial" w:hAnsi="Arial" w:cs="Arial"/>
                <w:lang w:val="en-GB"/>
              </w:rPr>
            </w:pPr>
            <w:r w:rsidRPr="00A02AF0">
              <w:rPr>
                <w:rFonts w:ascii="Arial" w:hAnsi="Arial" w:cs="Arial"/>
                <w:sz w:val="22"/>
                <w:szCs w:val="22"/>
                <w:lang w:val="en-GB"/>
              </w:rPr>
              <w:t>Greek</w:t>
            </w:r>
          </w:p>
        </w:tc>
      </w:tr>
    </w:tbl>
    <w:p w:rsidR="00B902C8" w:rsidRPr="00ED1686" w:rsidRDefault="00B902C8" w:rsidP="009F0A49"/>
    <w:sectPr w:rsidR="00B902C8" w:rsidRPr="00ED1686" w:rsidSect="006258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0201E8"/>
    <w:lvl w:ilvl="0">
      <w:start w:val="1"/>
      <w:numFmt w:val="decimal"/>
      <w:lvlText w:val="%1."/>
      <w:lvlJc w:val="left"/>
      <w:pPr>
        <w:tabs>
          <w:tab w:val="num" w:pos="1492"/>
        </w:tabs>
        <w:ind w:left="1492" w:hanging="360"/>
      </w:pPr>
    </w:lvl>
  </w:abstractNum>
  <w:abstractNum w:abstractNumId="1">
    <w:nsid w:val="FFFFFF7D"/>
    <w:multiLevelType w:val="singleLevel"/>
    <w:tmpl w:val="4FD0650C"/>
    <w:lvl w:ilvl="0">
      <w:start w:val="1"/>
      <w:numFmt w:val="decimal"/>
      <w:lvlText w:val="%1."/>
      <w:lvlJc w:val="left"/>
      <w:pPr>
        <w:tabs>
          <w:tab w:val="num" w:pos="1209"/>
        </w:tabs>
        <w:ind w:left="1209" w:hanging="360"/>
      </w:pPr>
    </w:lvl>
  </w:abstractNum>
  <w:abstractNum w:abstractNumId="2">
    <w:nsid w:val="FFFFFF7E"/>
    <w:multiLevelType w:val="singleLevel"/>
    <w:tmpl w:val="1CD0C800"/>
    <w:lvl w:ilvl="0">
      <w:start w:val="1"/>
      <w:numFmt w:val="decimal"/>
      <w:lvlText w:val="%1."/>
      <w:lvlJc w:val="left"/>
      <w:pPr>
        <w:tabs>
          <w:tab w:val="num" w:pos="926"/>
        </w:tabs>
        <w:ind w:left="926" w:hanging="360"/>
      </w:pPr>
    </w:lvl>
  </w:abstractNum>
  <w:abstractNum w:abstractNumId="3">
    <w:nsid w:val="FFFFFF7F"/>
    <w:multiLevelType w:val="singleLevel"/>
    <w:tmpl w:val="4D3EDCB2"/>
    <w:lvl w:ilvl="0">
      <w:start w:val="1"/>
      <w:numFmt w:val="decimal"/>
      <w:lvlText w:val="%1."/>
      <w:lvlJc w:val="left"/>
      <w:pPr>
        <w:tabs>
          <w:tab w:val="num" w:pos="643"/>
        </w:tabs>
        <w:ind w:left="643" w:hanging="360"/>
      </w:pPr>
    </w:lvl>
  </w:abstractNum>
  <w:abstractNum w:abstractNumId="4">
    <w:nsid w:val="FFFFFF80"/>
    <w:multiLevelType w:val="singleLevel"/>
    <w:tmpl w:val="0F58F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0E7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F82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6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E8BE18"/>
    <w:lvl w:ilvl="0">
      <w:start w:val="1"/>
      <w:numFmt w:val="decimal"/>
      <w:lvlText w:val="%1."/>
      <w:lvlJc w:val="left"/>
      <w:pPr>
        <w:tabs>
          <w:tab w:val="num" w:pos="360"/>
        </w:tabs>
        <w:ind w:left="360" w:hanging="360"/>
      </w:pPr>
    </w:lvl>
  </w:abstractNum>
  <w:abstractNum w:abstractNumId="9">
    <w:nsid w:val="FFFFFF89"/>
    <w:multiLevelType w:val="singleLevel"/>
    <w:tmpl w:val="E304A5DA"/>
    <w:lvl w:ilvl="0">
      <w:start w:val="1"/>
      <w:numFmt w:val="bullet"/>
      <w:lvlText w:val=""/>
      <w:lvlJc w:val="left"/>
      <w:pPr>
        <w:tabs>
          <w:tab w:val="num" w:pos="360"/>
        </w:tabs>
        <w:ind w:left="360" w:hanging="360"/>
      </w:pPr>
      <w:rPr>
        <w:rFonts w:ascii="Symbol" w:hAnsi="Symbol" w:hint="default"/>
      </w:rPr>
    </w:lvl>
  </w:abstractNum>
  <w:abstractNum w:abstractNumId="10">
    <w:nsid w:val="13E87191"/>
    <w:multiLevelType w:val="hybridMultilevel"/>
    <w:tmpl w:val="0C8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21A66"/>
    <w:multiLevelType w:val="hybridMultilevel"/>
    <w:tmpl w:val="C178A096"/>
    <w:lvl w:ilvl="0" w:tplc="47E0CF9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7E5E83"/>
    <w:multiLevelType w:val="hybridMultilevel"/>
    <w:tmpl w:val="438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D26C2"/>
    <w:multiLevelType w:val="hybridMultilevel"/>
    <w:tmpl w:val="DE2CD6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4054B4"/>
    <w:multiLevelType w:val="hybridMultilevel"/>
    <w:tmpl w:val="DDD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006A1B"/>
    <w:multiLevelType w:val="hybridMultilevel"/>
    <w:tmpl w:val="AAD06B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BD32614"/>
    <w:multiLevelType w:val="hybridMultilevel"/>
    <w:tmpl w:val="24425F72"/>
    <w:lvl w:ilvl="0" w:tplc="041879EA">
      <w:start w:val="1"/>
      <w:numFmt w:val="bullet"/>
      <w:lvlText w:val="•"/>
      <w:lvlJc w:val="left"/>
      <w:pPr>
        <w:tabs>
          <w:tab w:val="num" w:pos="720"/>
        </w:tabs>
        <w:ind w:left="720" w:hanging="360"/>
      </w:pPr>
      <w:rPr>
        <w:rFonts w:ascii="Arial" w:hAnsi="Arial" w:hint="default"/>
      </w:rPr>
    </w:lvl>
    <w:lvl w:ilvl="1" w:tplc="6248CCE6">
      <w:numFmt w:val="bullet"/>
      <w:lvlText w:val="•"/>
      <w:lvlJc w:val="left"/>
      <w:pPr>
        <w:tabs>
          <w:tab w:val="num" w:pos="1440"/>
        </w:tabs>
        <w:ind w:left="1440" w:hanging="360"/>
      </w:pPr>
      <w:rPr>
        <w:rFonts w:ascii="Arial" w:hAnsi="Arial" w:hint="default"/>
      </w:rPr>
    </w:lvl>
    <w:lvl w:ilvl="2" w:tplc="1E120CF4" w:tentative="1">
      <w:start w:val="1"/>
      <w:numFmt w:val="bullet"/>
      <w:lvlText w:val="•"/>
      <w:lvlJc w:val="left"/>
      <w:pPr>
        <w:tabs>
          <w:tab w:val="num" w:pos="2160"/>
        </w:tabs>
        <w:ind w:left="2160" w:hanging="360"/>
      </w:pPr>
      <w:rPr>
        <w:rFonts w:ascii="Arial" w:hAnsi="Arial" w:hint="default"/>
      </w:rPr>
    </w:lvl>
    <w:lvl w:ilvl="3" w:tplc="45C64284" w:tentative="1">
      <w:start w:val="1"/>
      <w:numFmt w:val="bullet"/>
      <w:lvlText w:val="•"/>
      <w:lvlJc w:val="left"/>
      <w:pPr>
        <w:tabs>
          <w:tab w:val="num" w:pos="2880"/>
        </w:tabs>
        <w:ind w:left="2880" w:hanging="360"/>
      </w:pPr>
      <w:rPr>
        <w:rFonts w:ascii="Arial" w:hAnsi="Arial" w:hint="default"/>
      </w:rPr>
    </w:lvl>
    <w:lvl w:ilvl="4" w:tplc="38404374" w:tentative="1">
      <w:start w:val="1"/>
      <w:numFmt w:val="bullet"/>
      <w:lvlText w:val="•"/>
      <w:lvlJc w:val="left"/>
      <w:pPr>
        <w:tabs>
          <w:tab w:val="num" w:pos="3600"/>
        </w:tabs>
        <w:ind w:left="3600" w:hanging="360"/>
      </w:pPr>
      <w:rPr>
        <w:rFonts w:ascii="Arial" w:hAnsi="Arial" w:hint="default"/>
      </w:rPr>
    </w:lvl>
    <w:lvl w:ilvl="5" w:tplc="19FC3FDA" w:tentative="1">
      <w:start w:val="1"/>
      <w:numFmt w:val="bullet"/>
      <w:lvlText w:val="•"/>
      <w:lvlJc w:val="left"/>
      <w:pPr>
        <w:tabs>
          <w:tab w:val="num" w:pos="4320"/>
        </w:tabs>
        <w:ind w:left="4320" w:hanging="360"/>
      </w:pPr>
      <w:rPr>
        <w:rFonts w:ascii="Arial" w:hAnsi="Arial" w:hint="default"/>
      </w:rPr>
    </w:lvl>
    <w:lvl w:ilvl="6" w:tplc="E7A08E44" w:tentative="1">
      <w:start w:val="1"/>
      <w:numFmt w:val="bullet"/>
      <w:lvlText w:val="•"/>
      <w:lvlJc w:val="left"/>
      <w:pPr>
        <w:tabs>
          <w:tab w:val="num" w:pos="5040"/>
        </w:tabs>
        <w:ind w:left="5040" w:hanging="360"/>
      </w:pPr>
      <w:rPr>
        <w:rFonts w:ascii="Arial" w:hAnsi="Arial" w:hint="default"/>
      </w:rPr>
    </w:lvl>
    <w:lvl w:ilvl="7" w:tplc="32706BF4" w:tentative="1">
      <w:start w:val="1"/>
      <w:numFmt w:val="bullet"/>
      <w:lvlText w:val="•"/>
      <w:lvlJc w:val="left"/>
      <w:pPr>
        <w:tabs>
          <w:tab w:val="num" w:pos="5760"/>
        </w:tabs>
        <w:ind w:left="5760" w:hanging="360"/>
      </w:pPr>
      <w:rPr>
        <w:rFonts w:ascii="Arial" w:hAnsi="Arial" w:hint="default"/>
      </w:rPr>
    </w:lvl>
    <w:lvl w:ilvl="8" w:tplc="10B09BC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hyphenationZone w:val="283"/>
  <w:characterSpacingControl w:val="doNotCompress"/>
  <w:compat/>
  <w:rsids>
    <w:rsidRoot w:val="00752B25"/>
    <w:rsid w:val="00024C21"/>
    <w:rsid w:val="0004086D"/>
    <w:rsid w:val="00065611"/>
    <w:rsid w:val="00094DB0"/>
    <w:rsid w:val="00096C44"/>
    <w:rsid w:val="000C3F1B"/>
    <w:rsid w:val="000C7640"/>
    <w:rsid w:val="000E2A08"/>
    <w:rsid w:val="00134F21"/>
    <w:rsid w:val="001413F5"/>
    <w:rsid w:val="001610DC"/>
    <w:rsid w:val="001652EF"/>
    <w:rsid w:val="00181762"/>
    <w:rsid w:val="00194A5D"/>
    <w:rsid w:val="001B647A"/>
    <w:rsid w:val="001C2D8A"/>
    <w:rsid w:val="001F33EE"/>
    <w:rsid w:val="0021735D"/>
    <w:rsid w:val="00236157"/>
    <w:rsid w:val="0027174A"/>
    <w:rsid w:val="00281020"/>
    <w:rsid w:val="00290CFC"/>
    <w:rsid w:val="00292144"/>
    <w:rsid w:val="002A702C"/>
    <w:rsid w:val="002D403D"/>
    <w:rsid w:val="002D5F97"/>
    <w:rsid w:val="002E7470"/>
    <w:rsid w:val="00330813"/>
    <w:rsid w:val="00335917"/>
    <w:rsid w:val="00343FEB"/>
    <w:rsid w:val="00344E1D"/>
    <w:rsid w:val="0035497D"/>
    <w:rsid w:val="00362B22"/>
    <w:rsid w:val="0038536B"/>
    <w:rsid w:val="00392AA1"/>
    <w:rsid w:val="003D4151"/>
    <w:rsid w:val="003E4613"/>
    <w:rsid w:val="003F2756"/>
    <w:rsid w:val="00405767"/>
    <w:rsid w:val="00422AB5"/>
    <w:rsid w:val="004242C1"/>
    <w:rsid w:val="00433DBD"/>
    <w:rsid w:val="00451D5C"/>
    <w:rsid w:val="004532E6"/>
    <w:rsid w:val="00454ED5"/>
    <w:rsid w:val="0045710F"/>
    <w:rsid w:val="004A0B91"/>
    <w:rsid w:val="004A1EED"/>
    <w:rsid w:val="004C15E3"/>
    <w:rsid w:val="004E4826"/>
    <w:rsid w:val="004F712D"/>
    <w:rsid w:val="005108F8"/>
    <w:rsid w:val="00521F0E"/>
    <w:rsid w:val="005237D1"/>
    <w:rsid w:val="00564D9B"/>
    <w:rsid w:val="00573AE7"/>
    <w:rsid w:val="005B06A8"/>
    <w:rsid w:val="005B5970"/>
    <w:rsid w:val="005C010B"/>
    <w:rsid w:val="005C088A"/>
    <w:rsid w:val="005D3B70"/>
    <w:rsid w:val="005E6B20"/>
    <w:rsid w:val="00601BA3"/>
    <w:rsid w:val="00625839"/>
    <w:rsid w:val="006264BB"/>
    <w:rsid w:val="00650997"/>
    <w:rsid w:val="0065110D"/>
    <w:rsid w:val="00664E7A"/>
    <w:rsid w:val="00694C61"/>
    <w:rsid w:val="006972EB"/>
    <w:rsid w:val="006A493C"/>
    <w:rsid w:val="006C0966"/>
    <w:rsid w:val="006C12DB"/>
    <w:rsid w:val="006C67D4"/>
    <w:rsid w:val="006C6A05"/>
    <w:rsid w:val="006D1521"/>
    <w:rsid w:val="006E11EB"/>
    <w:rsid w:val="006E60D0"/>
    <w:rsid w:val="007024ED"/>
    <w:rsid w:val="007065BE"/>
    <w:rsid w:val="007410D0"/>
    <w:rsid w:val="00742517"/>
    <w:rsid w:val="007520A5"/>
    <w:rsid w:val="00752B25"/>
    <w:rsid w:val="00756F93"/>
    <w:rsid w:val="00761566"/>
    <w:rsid w:val="00776655"/>
    <w:rsid w:val="00777ED5"/>
    <w:rsid w:val="00797CDA"/>
    <w:rsid w:val="007B4922"/>
    <w:rsid w:val="007D4DC0"/>
    <w:rsid w:val="007E1FA2"/>
    <w:rsid w:val="007F2457"/>
    <w:rsid w:val="0081079A"/>
    <w:rsid w:val="00814E55"/>
    <w:rsid w:val="00835AB7"/>
    <w:rsid w:val="00835F79"/>
    <w:rsid w:val="0085081B"/>
    <w:rsid w:val="00851060"/>
    <w:rsid w:val="00855C97"/>
    <w:rsid w:val="00866451"/>
    <w:rsid w:val="008A01F6"/>
    <w:rsid w:val="008B1442"/>
    <w:rsid w:val="008B4D7A"/>
    <w:rsid w:val="008B620E"/>
    <w:rsid w:val="008E50FA"/>
    <w:rsid w:val="008F0950"/>
    <w:rsid w:val="009050AD"/>
    <w:rsid w:val="00925370"/>
    <w:rsid w:val="009753EC"/>
    <w:rsid w:val="00991F40"/>
    <w:rsid w:val="009B0F8B"/>
    <w:rsid w:val="009E5859"/>
    <w:rsid w:val="009F0A49"/>
    <w:rsid w:val="00A02AF0"/>
    <w:rsid w:val="00A52719"/>
    <w:rsid w:val="00A97EDF"/>
    <w:rsid w:val="00AA2C5F"/>
    <w:rsid w:val="00AC0285"/>
    <w:rsid w:val="00AC1D84"/>
    <w:rsid w:val="00AC7B9E"/>
    <w:rsid w:val="00AE2D78"/>
    <w:rsid w:val="00B21BAC"/>
    <w:rsid w:val="00B46CE7"/>
    <w:rsid w:val="00B538D3"/>
    <w:rsid w:val="00B55121"/>
    <w:rsid w:val="00B61200"/>
    <w:rsid w:val="00B64198"/>
    <w:rsid w:val="00B70287"/>
    <w:rsid w:val="00B70A5D"/>
    <w:rsid w:val="00B813B4"/>
    <w:rsid w:val="00B902C8"/>
    <w:rsid w:val="00B94A95"/>
    <w:rsid w:val="00BB11EA"/>
    <w:rsid w:val="00BB1857"/>
    <w:rsid w:val="00BE2359"/>
    <w:rsid w:val="00BF01AC"/>
    <w:rsid w:val="00C0096E"/>
    <w:rsid w:val="00C1049E"/>
    <w:rsid w:val="00C108A0"/>
    <w:rsid w:val="00C23724"/>
    <w:rsid w:val="00C315D9"/>
    <w:rsid w:val="00C36499"/>
    <w:rsid w:val="00C37C96"/>
    <w:rsid w:val="00C65EE5"/>
    <w:rsid w:val="00C75B07"/>
    <w:rsid w:val="00C84127"/>
    <w:rsid w:val="00C92B7D"/>
    <w:rsid w:val="00C9661D"/>
    <w:rsid w:val="00C96B2C"/>
    <w:rsid w:val="00CD2E2A"/>
    <w:rsid w:val="00CF5053"/>
    <w:rsid w:val="00D22AC1"/>
    <w:rsid w:val="00D305A4"/>
    <w:rsid w:val="00D30821"/>
    <w:rsid w:val="00D6372B"/>
    <w:rsid w:val="00D67028"/>
    <w:rsid w:val="00D70E09"/>
    <w:rsid w:val="00D775A6"/>
    <w:rsid w:val="00D97C6A"/>
    <w:rsid w:val="00DA0CF6"/>
    <w:rsid w:val="00DA3386"/>
    <w:rsid w:val="00DA7ABF"/>
    <w:rsid w:val="00DB34BF"/>
    <w:rsid w:val="00E02E33"/>
    <w:rsid w:val="00E13EE4"/>
    <w:rsid w:val="00E210D8"/>
    <w:rsid w:val="00E2764E"/>
    <w:rsid w:val="00E5471C"/>
    <w:rsid w:val="00E63AFC"/>
    <w:rsid w:val="00E90B8E"/>
    <w:rsid w:val="00E92415"/>
    <w:rsid w:val="00EB62EF"/>
    <w:rsid w:val="00EC6B6E"/>
    <w:rsid w:val="00ED1686"/>
    <w:rsid w:val="00ED4DB8"/>
    <w:rsid w:val="00ED625A"/>
    <w:rsid w:val="00ED7637"/>
    <w:rsid w:val="00F17F03"/>
    <w:rsid w:val="00F553D2"/>
    <w:rsid w:val="00F572E0"/>
    <w:rsid w:val="00F577FE"/>
    <w:rsid w:val="00F61E5A"/>
    <w:rsid w:val="00F949F3"/>
    <w:rsid w:val="00FA275F"/>
    <w:rsid w:val="00FB7117"/>
    <w:rsid w:val="00FF2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DF"/>
    <w:rPr>
      <w:rFonts w:ascii="Times New Roman" w:eastAsia="Times New Roman" w:hAnsi="Times New Roman"/>
      <w:sz w:val="24"/>
      <w:szCs w:val="24"/>
      <w:lang w:val="en-US" w:eastAsia="en-US"/>
    </w:rPr>
  </w:style>
  <w:style w:type="paragraph" w:styleId="Heading1">
    <w:name w:val="heading 1"/>
    <w:aliases w:val="h1"/>
    <w:basedOn w:val="Normal"/>
    <w:next w:val="Normal"/>
    <w:link w:val="Heading1Char"/>
    <w:uiPriority w:val="99"/>
    <w:qFormat/>
    <w:rsid w:val="00752B25"/>
    <w:pPr>
      <w:keepNext/>
      <w:jc w:val="center"/>
      <w:outlineLvl w:val="0"/>
    </w:pPr>
    <w:rPr>
      <w:rFonts w:ascii="Arial" w:hAnsi="Arial"/>
      <w:b/>
      <w:bCs/>
      <w:lang w:val="el-GR" w:eastAsia="en-GB"/>
    </w:rPr>
  </w:style>
  <w:style w:type="paragraph" w:styleId="Heading3">
    <w:name w:val="heading 3"/>
    <w:basedOn w:val="Normal"/>
    <w:next w:val="Normal"/>
    <w:link w:val="Heading3Char"/>
    <w:unhideWhenUsed/>
    <w:qFormat/>
    <w:locked/>
    <w:rsid w:val="006C6A0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752B25"/>
    <w:rPr>
      <w:rFonts w:ascii="Arial" w:hAnsi="Arial"/>
      <w:b/>
      <w:sz w:val="24"/>
      <w:lang w:val="el-GR"/>
    </w:rPr>
  </w:style>
  <w:style w:type="paragraph" w:styleId="ListParagraph">
    <w:name w:val="List Paragraph"/>
    <w:basedOn w:val="Normal"/>
    <w:uiPriority w:val="34"/>
    <w:qFormat/>
    <w:rsid w:val="00752B25"/>
    <w:pPr>
      <w:spacing w:before="160" w:after="80"/>
      <w:ind w:left="720" w:hanging="216"/>
      <w:contextualSpacing/>
      <w:jc w:val="center"/>
    </w:pPr>
    <w:rPr>
      <w:rFonts w:ascii="Calibri" w:eastAsia="Calibri" w:hAnsi="Calibri"/>
      <w:sz w:val="22"/>
      <w:szCs w:val="22"/>
    </w:rPr>
  </w:style>
  <w:style w:type="character" w:customStyle="1" w:styleId="hps">
    <w:name w:val="hps"/>
    <w:uiPriority w:val="99"/>
    <w:rsid w:val="00752B25"/>
  </w:style>
  <w:style w:type="paragraph" w:styleId="CommentText">
    <w:name w:val="annotation text"/>
    <w:basedOn w:val="Normal"/>
    <w:link w:val="CommentTextChar"/>
    <w:uiPriority w:val="99"/>
    <w:semiHidden/>
    <w:unhideWhenUsed/>
    <w:rsid w:val="00C96B2C"/>
  </w:style>
  <w:style w:type="character" w:customStyle="1" w:styleId="CommentTextChar">
    <w:name w:val="Comment Text Char"/>
    <w:basedOn w:val="DefaultParagraphFont"/>
    <w:link w:val="CommentText"/>
    <w:uiPriority w:val="99"/>
    <w:semiHidden/>
    <w:rsid w:val="00C96B2C"/>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C96B2C"/>
    <w:rPr>
      <w:sz w:val="16"/>
      <w:szCs w:val="16"/>
    </w:rPr>
  </w:style>
  <w:style w:type="paragraph" w:styleId="BalloonText">
    <w:name w:val="Balloon Text"/>
    <w:basedOn w:val="Normal"/>
    <w:link w:val="BalloonTextChar"/>
    <w:uiPriority w:val="99"/>
    <w:semiHidden/>
    <w:unhideWhenUsed/>
    <w:rsid w:val="00C96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B2C"/>
    <w:rPr>
      <w:rFonts w:ascii="Lucida Grande" w:eastAsia="Times New Roman" w:hAnsi="Lucida Grande" w:cs="Lucida Grande"/>
      <w:sz w:val="18"/>
      <w:szCs w:val="18"/>
      <w:lang w:val="en-US" w:eastAsia="en-US"/>
    </w:rPr>
  </w:style>
  <w:style w:type="character" w:styleId="Hyperlink">
    <w:name w:val="Hyperlink"/>
    <w:basedOn w:val="DefaultParagraphFont"/>
    <w:uiPriority w:val="99"/>
    <w:unhideWhenUsed/>
    <w:rsid w:val="0065110D"/>
    <w:rPr>
      <w:color w:val="0000FF" w:themeColor="hyperlink"/>
      <w:u w:val="single"/>
    </w:rPr>
  </w:style>
  <w:style w:type="paragraph" w:styleId="FootnoteText">
    <w:name w:val="footnote text"/>
    <w:basedOn w:val="Normal"/>
    <w:link w:val="FootnoteTextChar"/>
    <w:uiPriority w:val="99"/>
    <w:unhideWhenUsed/>
    <w:qFormat/>
    <w:rsid w:val="0065110D"/>
  </w:style>
  <w:style w:type="character" w:customStyle="1" w:styleId="FootnoteTextChar">
    <w:name w:val="Footnote Text Char"/>
    <w:basedOn w:val="DefaultParagraphFont"/>
    <w:link w:val="FootnoteText"/>
    <w:uiPriority w:val="99"/>
    <w:rsid w:val="0065110D"/>
    <w:rPr>
      <w:rFonts w:ascii="Times New Roman" w:eastAsia="Times New Roman" w:hAnsi="Times New Roman"/>
      <w:sz w:val="24"/>
      <w:szCs w:val="24"/>
      <w:lang w:val="en-US" w:eastAsia="en-US"/>
    </w:rPr>
  </w:style>
  <w:style w:type="character" w:customStyle="1" w:styleId="a">
    <w:name w:val="_"/>
    <w:basedOn w:val="DefaultParagraphFont"/>
    <w:rsid w:val="00E92415"/>
  </w:style>
  <w:style w:type="character" w:customStyle="1" w:styleId="UnresolvedMention">
    <w:name w:val="Unresolved Mention"/>
    <w:basedOn w:val="DefaultParagraphFont"/>
    <w:uiPriority w:val="99"/>
    <w:semiHidden/>
    <w:unhideWhenUsed/>
    <w:rsid w:val="006C0966"/>
    <w:rPr>
      <w:color w:val="808080"/>
      <w:shd w:val="clear" w:color="auto" w:fill="E6E6E6"/>
    </w:rPr>
  </w:style>
  <w:style w:type="character" w:customStyle="1" w:styleId="Heading3Char">
    <w:name w:val="Heading 3 Char"/>
    <w:basedOn w:val="DefaultParagraphFont"/>
    <w:link w:val="Heading3"/>
    <w:rsid w:val="006C6A05"/>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locked/>
    <w:rsid w:val="00E210D8"/>
    <w:rPr>
      <w:b/>
      <w:bCs/>
    </w:rPr>
  </w:style>
  <w:style w:type="character" w:styleId="FollowedHyperlink">
    <w:name w:val="FollowedHyperlink"/>
    <w:basedOn w:val="DefaultParagraphFont"/>
    <w:uiPriority w:val="99"/>
    <w:unhideWhenUsed/>
    <w:rsid w:val="00A97E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585231">
      <w:bodyDiv w:val="1"/>
      <w:marLeft w:val="0"/>
      <w:marRight w:val="0"/>
      <w:marTop w:val="0"/>
      <w:marBottom w:val="0"/>
      <w:divBdr>
        <w:top w:val="none" w:sz="0" w:space="0" w:color="auto"/>
        <w:left w:val="none" w:sz="0" w:space="0" w:color="auto"/>
        <w:bottom w:val="none" w:sz="0" w:space="0" w:color="auto"/>
        <w:right w:val="none" w:sz="0" w:space="0" w:color="auto"/>
      </w:divBdr>
    </w:div>
    <w:div w:id="346638072">
      <w:bodyDiv w:val="1"/>
      <w:marLeft w:val="0"/>
      <w:marRight w:val="0"/>
      <w:marTop w:val="0"/>
      <w:marBottom w:val="0"/>
      <w:divBdr>
        <w:top w:val="none" w:sz="0" w:space="0" w:color="auto"/>
        <w:left w:val="none" w:sz="0" w:space="0" w:color="auto"/>
        <w:bottom w:val="none" w:sz="0" w:space="0" w:color="auto"/>
        <w:right w:val="none" w:sz="0" w:space="0" w:color="auto"/>
      </w:divBdr>
    </w:div>
    <w:div w:id="349449212">
      <w:bodyDiv w:val="1"/>
      <w:marLeft w:val="0"/>
      <w:marRight w:val="0"/>
      <w:marTop w:val="0"/>
      <w:marBottom w:val="0"/>
      <w:divBdr>
        <w:top w:val="none" w:sz="0" w:space="0" w:color="auto"/>
        <w:left w:val="none" w:sz="0" w:space="0" w:color="auto"/>
        <w:bottom w:val="none" w:sz="0" w:space="0" w:color="auto"/>
        <w:right w:val="none" w:sz="0" w:space="0" w:color="auto"/>
      </w:divBdr>
    </w:div>
    <w:div w:id="491874692">
      <w:bodyDiv w:val="1"/>
      <w:marLeft w:val="0"/>
      <w:marRight w:val="0"/>
      <w:marTop w:val="0"/>
      <w:marBottom w:val="0"/>
      <w:divBdr>
        <w:top w:val="none" w:sz="0" w:space="0" w:color="auto"/>
        <w:left w:val="none" w:sz="0" w:space="0" w:color="auto"/>
        <w:bottom w:val="none" w:sz="0" w:space="0" w:color="auto"/>
        <w:right w:val="none" w:sz="0" w:space="0" w:color="auto"/>
      </w:divBdr>
    </w:div>
    <w:div w:id="816578648">
      <w:bodyDiv w:val="1"/>
      <w:marLeft w:val="0"/>
      <w:marRight w:val="0"/>
      <w:marTop w:val="0"/>
      <w:marBottom w:val="0"/>
      <w:divBdr>
        <w:top w:val="none" w:sz="0" w:space="0" w:color="auto"/>
        <w:left w:val="none" w:sz="0" w:space="0" w:color="auto"/>
        <w:bottom w:val="none" w:sz="0" w:space="0" w:color="auto"/>
        <w:right w:val="none" w:sz="0" w:space="0" w:color="auto"/>
      </w:divBdr>
      <w:divsChild>
        <w:div w:id="449399210">
          <w:marLeft w:val="360"/>
          <w:marRight w:val="0"/>
          <w:marTop w:val="200"/>
          <w:marBottom w:val="0"/>
          <w:divBdr>
            <w:top w:val="none" w:sz="0" w:space="0" w:color="auto"/>
            <w:left w:val="none" w:sz="0" w:space="0" w:color="auto"/>
            <w:bottom w:val="none" w:sz="0" w:space="0" w:color="auto"/>
            <w:right w:val="none" w:sz="0" w:space="0" w:color="auto"/>
          </w:divBdr>
        </w:div>
        <w:div w:id="1045981417">
          <w:marLeft w:val="360"/>
          <w:marRight w:val="0"/>
          <w:marTop w:val="200"/>
          <w:marBottom w:val="0"/>
          <w:divBdr>
            <w:top w:val="none" w:sz="0" w:space="0" w:color="auto"/>
            <w:left w:val="none" w:sz="0" w:space="0" w:color="auto"/>
            <w:bottom w:val="none" w:sz="0" w:space="0" w:color="auto"/>
            <w:right w:val="none" w:sz="0" w:space="0" w:color="auto"/>
          </w:divBdr>
        </w:div>
        <w:div w:id="1880363191">
          <w:marLeft w:val="360"/>
          <w:marRight w:val="0"/>
          <w:marTop w:val="200"/>
          <w:marBottom w:val="0"/>
          <w:divBdr>
            <w:top w:val="none" w:sz="0" w:space="0" w:color="auto"/>
            <w:left w:val="none" w:sz="0" w:space="0" w:color="auto"/>
            <w:bottom w:val="none" w:sz="0" w:space="0" w:color="auto"/>
            <w:right w:val="none" w:sz="0" w:space="0" w:color="auto"/>
          </w:divBdr>
        </w:div>
        <w:div w:id="635372647">
          <w:marLeft w:val="1080"/>
          <w:marRight w:val="0"/>
          <w:marTop w:val="100"/>
          <w:marBottom w:val="0"/>
          <w:divBdr>
            <w:top w:val="none" w:sz="0" w:space="0" w:color="auto"/>
            <w:left w:val="none" w:sz="0" w:space="0" w:color="auto"/>
            <w:bottom w:val="none" w:sz="0" w:space="0" w:color="auto"/>
            <w:right w:val="none" w:sz="0" w:space="0" w:color="auto"/>
          </w:divBdr>
        </w:div>
        <w:div w:id="1027367660">
          <w:marLeft w:val="1080"/>
          <w:marRight w:val="0"/>
          <w:marTop w:val="100"/>
          <w:marBottom w:val="0"/>
          <w:divBdr>
            <w:top w:val="none" w:sz="0" w:space="0" w:color="auto"/>
            <w:left w:val="none" w:sz="0" w:space="0" w:color="auto"/>
            <w:bottom w:val="none" w:sz="0" w:space="0" w:color="auto"/>
            <w:right w:val="none" w:sz="0" w:space="0" w:color="auto"/>
          </w:divBdr>
        </w:div>
        <w:div w:id="121651115">
          <w:marLeft w:val="360"/>
          <w:marRight w:val="0"/>
          <w:marTop w:val="200"/>
          <w:marBottom w:val="0"/>
          <w:divBdr>
            <w:top w:val="none" w:sz="0" w:space="0" w:color="auto"/>
            <w:left w:val="none" w:sz="0" w:space="0" w:color="auto"/>
            <w:bottom w:val="none" w:sz="0" w:space="0" w:color="auto"/>
            <w:right w:val="none" w:sz="0" w:space="0" w:color="auto"/>
          </w:divBdr>
        </w:div>
        <w:div w:id="1074623360">
          <w:marLeft w:val="1080"/>
          <w:marRight w:val="0"/>
          <w:marTop w:val="100"/>
          <w:marBottom w:val="0"/>
          <w:divBdr>
            <w:top w:val="none" w:sz="0" w:space="0" w:color="auto"/>
            <w:left w:val="none" w:sz="0" w:space="0" w:color="auto"/>
            <w:bottom w:val="none" w:sz="0" w:space="0" w:color="auto"/>
            <w:right w:val="none" w:sz="0" w:space="0" w:color="auto"/>
          </w:divBdr>
        </w:div>
        <w:div w:id="1937248125">
          <w:marLeft w:val="1080"/>
          <w:marRight w:val="0"/>
          <w:marTop w:val="100"/>
          <w:marBottom w:val="0"/>
          <w:divBdr>
            <w:top w:val="none" w:sz="0" w:space="0" w:color="auto"/>
            <w:left w:val="none" w:sz="0" w:space="0" w:color="auto"/>
            <w:bottom w:val="none" w:sz="0" w:space="0" w:color="auto"/>
            <w:right w:val="none" w:sz="0" w:space="0" w:color="auto"/>
          </w:divBdr>
        </w:div>
        <w:div w:id="1149053799">
          <w:marLeft w:val="360"/>
          <w:marRight w:val="0"/>
          <w:marTop w:val="200"/>
          <w:marBottom w:val="0"/>
          <w:divBdr>
            <w:top w:val="none" w:sz="0" w:space="0" w:color="auto"/>
            <w:left w:val="none" w:sz="0" w:space="0" w:color="auto"/>
            <w:bottom w:val="none" w:sz="0" w:space="0" w:color="auto"/>
            <w:right w:val="none" w:sz="0" w:space="0" w:color="auto"/>
          </w:divBdr>
        </w:div>
      </w:divsChild>
    </w:div>
    <w:div w:id="1676565333">
      <w:bodyDiv w:val="1"/>
      <w:marLeft w:val="0"/>
      <w:marRight w:val="0"/>
      <w:marTop w:val="0"/>
      <w:marBottom w:val="0"/>
      <w:divBdr>
        <w:top w:val="none" w:sz="0" w:space="0" w:color="auto"/>
        <w:left w:val="none" w:sz="0" w:space="0" w:color="auto"/>
        <w:bottom w:val="none" w:sz="0" w:space="0" w:color="auto"/>
        <w:right w:val="none" w:sz="0" w:space="0" w:color="auto"/>
      </w:divBdr>
    </w:div>
    <w:div w:id="1774133538">
      <w:bodyDiv w:val="1"/>
      <w:marLeft w:val="0"/>
      <w:marRight w:val="0"/>
      <w:marTop w:val="0"/>
      <w:marBottom w:val="0"/>
      <w:divBdr>
        <w:top w:val="none" w:sz="0" w:space="0" w:color="auto"/>
        <w:left w:val="none" w:sz="0" w:space="0" w:color="auto"/>
        <w:bottom w:val="none" w:sz="0" w:space="0" w:color="auto"/>
        <w:right w:val="none" w:sz="0" w:space="0" w:color="auto"/>
      </w:divBdr>
    </w:div>
    <w:div w:id="19263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1563</Characters>
  <Application>Microsoft Office Word</Application>
  <DocSecurity>0</DocSecurity>
  <Lines>13</Lines>
  <Paragraphs>3</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Course title</vt:lpstr>
      <vt:lpstr>Course title</vt:lpstr>
      <vt:lpstr>Course title</vt:lpstr>
    </vt:vector>
  </TitlesOfParts>
  <Company>European University Cyprus</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S. P. Nath</dc:creator>
  <cp:lastModifiedBy>Edoardo Minerva</cp:lastModifiedBy>
  <cp:revision>2</cp:revision>
  <cp:lastPrinted>2017-10-18T03:52:00Z</cp:lastPrinted>
  <dcterms:created xsi:type="dcterms:W3CDTF">2017-10-24T11:30:00Z</dcterms:created>
  <dcterms:modified xsi:type="dcterms:W3CDTF">2017-10-24T11:30:00Z</dcterms:modified>
</cp:coreProperties>
</file>