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86" w:rsidRPr="00BB1857" w:rsidRDefault="00ED1686" w:rsidP="00ED1686">
      <w:pPr>
        <w:rPr>
          <w:lang w:val="el-GR"/>
        </w:rPr>
      </w:pPr>
    </w:p>
    <w:tbl>
      <w:tblPr>
        <w:tblpPr w:leftFromText="180" w:rightFromText="180" w:vertAnchor="page" w:horzAnchor="margin" w:tblpXSpec="center" w:tblpY="1426"/>
        <w:tblW w:w="9926" w:type="dxa"/>
        <w:tblLayout w:type="fixed"/>
        <w:tblLook w:val="01E0"/>
      </w:tblPr>
      <w:tblGrid>
        <w:gridCol w:w="2835"/>
        <w:gridCol w:w="6793"/>
        <w:gridCol w:w="298"/>
      </w:tblGrid>
      <w:tr w:rsidR="00ED1686" w:rsidRPr="00814E55"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r w:rsidRPr="00ED1686">
              <w:rPr>
                <w:rFonts w:ascii="Arial" w:hAnsi="Arial" w:cs="Arial"/>
                <w:b/>
                <w:sz w:val="22"/>
                <w:lang w:val="en-GB"/>
              </w:rPr>
              <w:t>Module title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B55121" w:rsidRDefault="00F572E0" w:rsidP="00814E55">
            <w:pPr>
              <w:pStyle w:val="Heading1"/>
              <w:jc w:val="both"/>
              <w:rPr>
                <w:rFonts w:cs="Arial"/>
                <w:i/>
                <w:lang w:val="en-US" w:eastAsia="en-US"/>
              </w:rPr>
            </w:pPr>
            <w:r w:rsidRPr="00A55EE6">
              <w:rPr>
                <w:i/>
                <w:sz w:val="22"/>
                <w:szCs w:val="22"/>
                <w:lang w:val="en-US"/>
              </w:rPr>
              <w:t xml:space="preserve">The </w:t>
            </w:r>
            <w:r>
              <w:rPr>
                <w:i/>
                <w:sz w:val="22"/>
                <w:szCs w:val="22"/>
                <w:lang w:val="en-US"/>
              </w:rPr>
              <w:t>E</w:t>
            </w:r>
            <w:r w:rsidRPr="00A55EE6">
              <w:rPr>
                <w:i/>
                <w:sz w:val="22"/>
                <w:szCs w:val="22"/>
                <w:lang w:val="en-US"/>
              </w:rPr>
              <w:t xml:space="preserve">conomic </w:t>
            </w:r>
            <w:r>
              <w:rPr>
                <w:i/>
                <w:sz w:val="22"/>
                <w:szCs w:val="22"/>
                <w:lang w:val="en-US"/>
              </w:rPr>
              <w:t>P</w:t>
            </w:r>
            <w:r w:rsidRPr="00A55EE6">
              <w:rPr>
                <w:i/>
                <w:sz w:val="22"/>
                <w:szCs w:val="22"/>
                <w:lang w:val="en-US"/>
              </w:rPr>
              <w:t xml:space="preserve">rinciples </w:t>
            </w:r>
            <w:r>
              <w:rPr>
                <w:i/>
                <w:sz w:val="22"/>
                <w:szCs w:val="22"/>
                <w:lang w:val="en-US"/>
              </w:rPr>
              <w:t>G</w:t>
            </w:r>
            <w:r w:rsidRPr="00A55EE6">
              <w:rPr>
                <w:i/>
                <w:sz w:val="22"/>
                <w:szCs w:val="22"/>
                <w:lang w:val="en-US"/>
              </w:rPr>
              <w:t xml:space="preserve">overning the </w:t>
            </w:r>
            <w:r>
              <w:rPr>
                <w:i/>
                <w:sz w:val="22"/>
                <w:szCs w:val="22"/>
                <w:lang w:val="en-US"/>
              </w:rPr>
              <w:t>R</w:t>
            </w:r>
            <w:r w:rsidRPr="00A55EE6">
              <w:rPr>
                <w:i/>
                <w:sz w:val="22"/>
                <w:szCs w:val="22"/>
                <w:lang w:val="en-US"/>
              </w:rPr>
              <w:t xml:space="preserve">ules </w:t>
            </w:r>
            <w:r>
              <w:rPr>
                <w:i/>
                <w:sz w:val="22"/>
                <w:szCs w:val="22"/>
                <w:lang w:val="en-US"/>
              </w:rPr>
              <w:t>P</w:t>
            </w:r>
            <w:r w:rsidRPr="00A55EE6">
              <w:rPr>
                <w:i/>
                <w:sz w:val="22"/>
                <w:szCs w:val="22"/>
                <w:lang w:val="en-US"/>
              </w:rPr>
              <w:t xml:space="preserve">rotecting </w:t>
            </w:r>
            <w:r>
              <w:rPr>
                <w:i/>
                <w:sz w:val="22"/>
                <w:szCs w:val="22"/>
                <w:lang w:val="en-US"/>
              </w:rPr>
              <w:t>F</w:t>
            </w:r>
            <w:r w:rsidRPr="00A55EE6">
              <w:rPr>
                <w:i/>
                <w:sz w:val="22"/>
                <w:szCs w:val="22"/>
                <w:lang w:val="en-US"/>
              </w:rPr>
              <w:t xml:space="preserve">ree </w:t>
            </w:r>
            <w:r>
              <w:rPr>
                <w:i/>
                <w:sz w:val="22"/>
                <w:szCs w:val="22"/>
                <w:lang w:val="en-US"/>
              </w:rPr>
              <w:t>C</w:t>
            </w:r>
            <w:r w:rsidRPr="00A55EE6">
              <w:rPr>
                <w:i/>
                <w:sz w:val="22"/>
                <w:szCs w:val="22"/>
                <w:lang w:val="en-US"/>
              </w:rPr>
              <w:t>ompetition in EU Law and Law of Cyprus</w:t>
            </w:r>
          </w:p>
        </w:tc>
      </w:tr>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6E11EB">
            <w:pPr>
              <w:rPr>
                <w:rFonts w:ascii="Arial" w:hAnsi="Arial" w:cs="Arial"/>
                <w:b/>
                <w:lang w:val="en-GB"/>
              </w:rPr>
            </w:pPr>
            <w:r w:rsidRPr="00ED1686">
              <w:rPr>
                <w:rFonts w:ascii="Arial" w:hAnsi="Arial" w:cs="Arial"/>
                <w:b/>
                <w:sz w:val="22"/>
                <w:lang w:val="en-GB"/>
              </w:rPr>
              <w:t>Dates</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B55121" w:rsidRDefault="00B55121" w:rsidP="00B55121">
            <w:pPr>
              <w:rPr>
                <w:rFonts w:ascii="Arial" w:hAnsi="Arial" w:cs="Arial"/>
              </w:rPr>
            </w:pPr>
            <w:r>
              <w:rPr>
                <w:rFonts w:ascii="Arial" w:hAnsi="Arial" w:cs="Arial"/>
                <w:sz w:val="22"/>
                <w:szCs w:val="22"/>
              </w:rPr>
              <w:t xml:space="preserve">Thursday, </w:t>
            </w:r>
            <w:r w:rsidR="00814E55" w:rsidRPr="00B55121">
              <w:rPr>
                <w:rFonts w:ascii="Arial" w:hAnsi="Arial" w:cs="Arial"/>
                <w:sz w:val="22"/>
                <w:szCs w:val="22"/>
                <w:lang w:val="el-GR"/>
              </w:rPr>
              <w:t>2</w:t>
            </w:r>
            <w:r>
              <w:rPr>
                <w:rFonts w:ascii="Arial" w:hAnsi="Arial" w:cs="Arial"/>
                <w:sz w:val="22"/>
                <w:szCs w:val="22"/>
              </w:rPr>
              <w:t>6</w:t>
            </w:r>
            <w:r w:rsidRPr="00B55121">
              <w:rPr>
                <w:rFonts w:ascii="Arial" w:hAnsi="Arial" w:cs="Arial"/>
                <w:sz w:val="22"/>
                <w:szCs w:val="22"/>
                <w:vertAlign w:val="superscript"/>
              </w:rPr>
              <w:t>th</w:t>
            </w:r>
            <w:r>
              <w:rPr>
                <w:rFonts w:ascii="Arial" w:hAnsi="Arial" w:cs="Arial"/>
                <w:sz w:val="22"/>
                <w:szCs w:val="22"/>
              </w:rPr>
              <w:t xml:space="preserve"> October</w:t>
            </w:r>
            <w:r w:rsidR="00814E55" w:rsidRPr="00B55121">
              <w:rPr>
                <w:rFonts w:ascii="Arial" w:hAnsi="Arial" w:cs="Arial"/>
                <w:sz w:val="22"/>
                <w:szCs w:val="22"/>
              </w:rPr>
              <w:t xml:space="preserve"> 2017</w:t>
            </w:r>
          </w:p>
        </w:tc>
      </w:tr>
      <w:tr w:rsidR="00ED1686" w:rsidRPr="00814E55"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r w:rsidRPr="00ED1686">
              <w:rPr>
                <w:rFonts w:ascii="Arial" w:hAnsi="Arial" w:cs="Arial"/>
                <w:b/>
                <w:sz w:val="22"/>
                <w:lang w:val="en-GB"/>
              </w:rPr>
              <w:t>Instructor</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814E55" w:rsidRPr="00F572E0" w:rsidRDefault="00814E55" w:rsidP="00814E55">
            <w:pPr>
              <w:shd w:val="clear" w:color="auto" w:fill="FFFFFF"/>
              <w:spacing w:line="0" w:lineRule="auto"/>
              <w:rPr>
                <w:rFonts w:ascii="Arial" w:hAnsi="Arial" w:cs="Arial"/>
                <w:color w:val="000000"/>
                <w:lang w:eastAsia="el-GR"/>
              </w:rPr>
            </w:pPr>
            <w:r w:rsidRPr="00F572E0">
              <w:rPr>
                <w:rFonts w:ascii="Arial" w:hAnsi="Arial" w:cs="Arial"/>
                <w:color w:val="000000"/>
                <w:sz w:val="22"/>
                <w:szCs w:val="22"/>
                <w:lang w:eastAsia="el-GR"/>
              </w:rPr>
              <w:t>Dr. LazarosGrigoriadis, Lecturer, Faculty of Law of Neapolis</w:t>
            </w:r>
          </w:p>
          <w:p w:rsidR="00814E55" w:rsidRPr="00F572E0" w:rsidRDefault="00814E55" w:rsidP="00814E55">
            <w:pPr>
              <w:shd w:val="clear" w:color="auto" w:fill="FFFFFF"/>
              <w:spacing w:line="0" w:lineRule="auto"/>
              <w:rPr>
                <w:rFonts w:ascii="Arial" w:hAnsi="Arial" w:cs="Arial"/>
                <w:color w:val="000000"/>
                <w:lang w:eastAsia="el-GR"/>
              </w:rPr>
            </w:pPr>
            <w:r w:rsidRPr="00F572E0">
              <w:rPr>
                <w:rFonts w:ascii="Arial" w:hAnsi="Arial" w:cs="Arial"/>
                <w:color w:val="000000"/>
                <w:sz w:val="22"/>
                <w:szCs w:val="22"/>
                <w:lang w:eastAsia="el-GR"/>
              </w:rPr>
              <w:t>University of Pafos, Cyprus</w:t>
            </w:r>
          </w:p>
          <w:p w:rsidR="00ED1686" w:rsidRPr="00F572E0" w:rsidRDefault="00814E55" w:rsidP="00F572E0">
            <w:pPr>
              <w:rPr>
                <w:rFonts w:ascii="Arial" w:hAnsi="Arial" w:cs="Arial"/>
              </w:rPr>
            </w:pPr>
            <w:r w:rsidRPr="00F572E0">
              <w:rPr>
                <w:rFonts w:ascii="Arial" w:hAnsi="Arial" w:cs="Arial"/>
                <w:sz w:val="22"/>
                <w:szCs w:val="22"/>
              </w:rPr>
              <w:t xml:space="preserve">Dr. </w:t>
            </w:r>
            <w:r w:rsidR="00F572E0" w:rsidRPr="00F572E0">
              <w:rPr>
                <w:rFonts w:ascii="Arial" w:hAnsi="Arial" w:cs="Arial"/>
                <w:sz w:val="22"/>
                <w:szCs w:val="22"/>
              </w:rPr>
              <w:t xml:space="preserve"> Panayiotis Agisilaou, Teaching Fellow at the Open University of Cyprus</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lang w:val="en-GB"/>
              </w:rPr>
            </w:pPr>
            <w:r w:rsidRPr="00ED1686">
              <w:rPr>
                <w:rFonts w:ascii="Arial" w:hAnsi="Arial" w:cs="Arial"/>
                <w:b/>
                <w:sz w:val="22"/>
                <w:lang w:val="en-GB"/>
              </w:rPr>
              <w:t>Module description</w:t>
            </w:r>
          </w:p>
        </w:tc>
      </w:tr>
      <w:tr w:rsidR="00ED1686" w:rsidRPr="00564D9B" w:rsidTr="00ED1686">
        <w:trPr>
          <w:trHeight w:val="170"/>
        </w:trPr>
        <w:tc>
          <w:tcPr>
            <w:tcW w:w="9926" w:type="dxa"/>
            <w:gridSpan w:val="3"/>
            <w:tcBorders>
              <w:top w:val="single" w:sz="4" w:space="0" w:color="auto"/>
              <w:left w:val="single" w:sz="4" w:space="0" w:color="auto"/>
              <w:bottom w:val="single" w:sz="4" w:space="0" w:color="auto"/>
              <w:right w:val="single" w:sz="4" w:space="0" w:color="auto"/>
            </w:tcBorders>
            <w:vAlign w:val="center"/>
          </w:tcPr>
          <w:p w:rsidR="00BB1857" w:rsidRPr="00BB1857" w:rsidRDefault="00BB1857" w:rsidP="008B4D7A">
            <w:pPr>
              <w:spacing w:before="120" w:after="120"/>
              <w:jc w:val="both"/>
              <w:rPr>
                <w:rFonts w:ascii="Arial" w:hAnsi="Arial" w:cs="Arial"/>
              </w:rPr>
            </w:pPr>
            <w:r w:rsidRPr="00A02AF0">
              <w:rPr>
                <w:rFonts w:ascii="Arial" w:hAnsi="Arial" w:cs="Arial"/>
                <w:sz w:val="22"/>
              </w:rPr>
              <w:t xml:space="preserve">The </w:t>
            </w:r>
            <w:r w:rsidR="008B4D7A" w:rsidRPr="00A02AF0">
              <w:rPr>
                <w:rFonts w:ascii="Arial" w:hAnsi="Arial" w:cs="Arial"/>
                <w:sz w:val="22"/>
              </w:rPr>
              <w:t xml:space="preserve">module will mainly </w:t>
            </w:r>
            <w:r w:rsidRPr="00A02AF0">
              <w:rPr>
                <w:rFonts w:ascii="Arial" w:hAnsi="Arial" w:cs="Arial"/>
                <w:sz w:val="22"/>
              </w:rPr>
              <w:t xml:space="preserve">focus on the definition of the relevant market. In particular, the module will explore the significance and the role of the proper definition of the relevant market in antitrust cases and merger cases as well. It will also highlight the conflict of interest </w:t>
            </w:r>
            <w:r w:rsidR="008B4D7A" w:rsidRPr="00A02AF0">
              <w:rPr>
                <w:rFonts w:ascii="Arial" w:hAnsi="Arial" w:cs="Arial"/>
                <w:sz w:val="22"/>
              </w:rPr>
              <w:t xml:space="preserve">betweenthe </w:t>
            </w:r>
            <w:r w:rsidRPr="00A02AF0">
              <w:rPr>
                <w:rFonts w:ascii="Arial" w:hAnsi="Arial" w:cs="Arial"/>
                <w:sz w:val="22"/>
              </w:rPr>
              <w:t>parties involved in antitrust and merger cases</w:t>
            </w:r>
            <w:r w:rsidR="00AE2D78" w:rsidRPr="00A02AF0">
              <w:rPr>
                <w:rFonts w:ascii="Arial" w:hAnsi="Arial" w:cs="Arial"/>
                <w:sz w:val="22"/>
              </w:rPr>
              <w:t xml:space="preserve"> concerning the boundaries of the relevant market</w:t>
            </w:r>
            <w:r w:rsidRPr="00A02AF0">
              <w:rPr>
                <w:rFonts w:ascii="Arial" w:hAnsi="Arial" w:cs="Arial"/>
                <w:sz w:val="22"/>
              </w:rPr>
              <w:t xml:space="preserve">. Moreover, specific attention will be given to the sources of competitive pressure (i.e. demand side and supply side). Subsequently, the module will elaborate </w:t>
            </w:r>
            <w:r w:rsidR="009B0F8B" w:rsidRPr="00A02AF0">
              <w:rPr>
                <w:rFonts w:ascii="Arial" w:hAnsi="Arial" w:cs="Arial"/>
                <w:sz w:val="22"/>
              </w:rPr>
              <w:t xml:space="preserve">on </w:t>
            </w:r>
            <w:r w:rsidRPr="00A02AF0">
              <w:rPr>
                <w:rFonts w:ascii="Arial" w:hAnsi="Arial" w:cs="Arial"/>
                <w:sz w:val="22"/>
              </w:rPr>
              <w:t xml:space="preserve">various quantitative methods used by economists for delineating </w:t>
            </w:r>
            <w:r w:rsidR="00AE2D78" w:rsidRPr="00A02AF0">
              <w:rPr>
                <w:rFonts w:ascii="Arial" w:hAnsi="Arial" w:cs="Arial"/>
                <w:sz w:val="22"/>
              </w:rPr>
              <w:t>the</w:t>
            </w:r>
            <w:r w:rsidRPr="00A02AF0">
              <w:rPr>
                <w:rFonts w:ascii="Arial" w:hAnsi="Arial" w:cs="Arial"/>
                <w:sz w:val="22"/>
              </w:rPr>
              <w:t xml:space="preserve"> relevant market (i.e. SSNIP test, Critical Loss Analysis). Finally,</w:t>
            </w:r>
            <w:r w:rsidR="008B4D7A" w:rsidRPr="00A02AF0">
              <w:rPr>
                <w:rFonts w:ascii="Arial" w:hAnsi="Arial" w:cs="Arial"/>
                <w:sz w:val="22"/>
              </w:rPr>
              <w:t xml:space="preserve"> the module</w:t>
            </w:r>
            <w:r w:rsidR="00DA7ABF" w:rsidRPr="00A02AF0">
              <w:rPr>
                <w:rFonts w:ascii="Arial" w:hAnsi="Arial" w:cs="Arial"/>
                <w:sz w:val="22"/>
              </w:rPr>
              <w:t xml:space="preserve">will </w:t>
            </w:r>
            <w:r w:rsidR="008B4D7A" w:rsidRPr="00A02AF0">
              <w:rPr>
                <w:rFonts w:ascii="Arial" w:hAnsi="Arial" w:cs="Arial"/>
                <w:sz w:val="22"/>
              </w:rPr>
              <w:t xml:space="preserve">spotlight on the </w:t>
            </w:r>
            <w:r w:rsidR="006264BB" w:rsidRPr="00A02AF0">
              <w:rPr>
                <w:rFonts w:ascii="Arial" w:hAnsi="Arial" w:cs="Arial"/>
                <w:sz w:val="22"/>
              </w:rPr>
              <w:t>q</w:t>
            </w:r>
            <w:r w:rsidRPr="00A02AF0">
              <w:rPr>
                <w:rFonts w:ascii="Arial" w:hAnsi="Arial" w:cs="Arial"/>
                <w:sz w:val="22"/>
              </w:rPr>
              <w:t xml:space="preserve">ualitative analysis </w:t>
            </w:r>
            <w:r w:rsidR="006264BB" w:rsidRPr="00A02AF0">
              <w:rPr>
                <w:rFonts w:ascii="Arial" w:hAnsi="Arial" w:cs="Arial"/>
                <w:sz w:val="22"/>
              </w:rPr>
              <w:t>which can assist the definition of the relevant market.</w:t>
            </w:r>
          </w:p>
        </w:tc>
      </w:tr>
      <w:tr w:rsidR="00ED1686" w:rsidRPr="00521F0E" w:rsidTr="00ED1686">
        <w:trPr>
          <w:trHeight w:val="567"/>
        </w:trPr>
        <w:tc>
          <w:tcPr>
            <w:tcW w:w="9926" w:type="dxa"/>
            <w:gridSpan w:val="3"/>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rPr>
            </w:pPr>
            <w:r w:rsidRPr="00ED1686">
              <w:rPr>
                <w:rFonts w:ascii="Arial" w:hAnsi="Arial" w:cs="Arial"/>
                <w:b/>
                <w:sz w:val="22"/>
                <w:lang w:val="en-GB"/>
              </w:rPr>
              <w:t>Training outcomes</w:t>
            </w:r>
          </w:p>
        </w:tc>
      </w:tr>
      <w:tr w:rsidR="00ED1686" w:rsidRPr="00564D9B" w:rsidTr="002D403D">
        <w:trPr>
          <w:trHeight w:val="95"/>
        </w:trPr>
        <w:tc>
          <w:tcPr>
            <w:tcW w:w="9926" w:type="dxa"/>
            <w:gridSpan w:val="3"/>
            <w:tcBorders>
              <w:top w:val="single" w:sz="4" w:space="0" w:color="auto"/>
              <w:left w:val="single" w:sz="4" w:space="0" w:color="auto"/>
              <w:bottom w:val="single" w:sz="4" w:space="0" w:color="auto"/>
              <w:right w:val="single" w:sz="4" w:space="0" w:color="auto"/>
            </w:tcBorders>
            <w:vAlign w:val="center"/>
          </w:tcPr>
          <w:p w:rsidR="005237D1" w:rsidRPr="00A02AF0" w:rsidRDefault="00BB1857" w:rsidP="00ED1686">
            <w:pPr>
              <w:spacing w:before="120" w:after="120"/>
              <w:jc w:val="both"/>
              <w:rPr>
                <w:rFonts w:ascii="Arial" w:hAnsi="Arial" w:cs="Arial"/>
                <w:noProof/>
                <w:sz w:val="22"/>
              </w:rPr>
            </w:pPr>
            <w:r w:rsidRPr="00A02AF0">
              <w:rPr>
                <w:rFonts w:ascii="Arial" w:hAnsi="Arial" w:cs="Arial"/>
                <w:noProof/>
                <w:sz w:val="22"/>
              </w:rPr>
              <w:t xml:space="preserve">Undestand the role of the proper definition of the relevant market in antitrust and merger cases. </w:t>
            </w:r>
          </w:p>
          <w:p w:rsidR="00BB1857" w:rsidRPr="00A02AF0" w:rsidRDefault="00D67028" w:rsidP="00ED1686">
            <w:pPr>
              <w:spacing w:before="120" w:after="120"/>
              <w:jc w:val="both"/>
              <w:rPr>
                <w:rFonts w:ascii="Arial" w:hAnsi="Arial" w:cs="Arial"/>
                <w:noProof/>
                <w:sz w:val="22"/>
              </w:rPr>
            </w:pPr>
            <w:r w:rsidRPr="00A02AF0">
              <w:rPr>
                <w:rFonts w:ascii="Arial" w:hAnsi="Arial" w:cs="Arial"/>
                <w:noProof/>
                <w:sz w:val="22"/>
              </w:rPr>
              <w:t>Familiarize</w:t>
            </w:r>
            <w:r w:rsidR="00BB1857" w:rsidRPr="00A02AF0">
              <w:rPr>
                <w:rFonts w:ascii="Arial" w:hAnsi="Arial" w:cs="Arial"/>
                <w:noProof/>
                <w:sz w:val="22"/>
              </w:rPr>
              <w:t xml:space="preserve"> with the </w:t>
            </w:r>
            <w:r w:rsidR="00DA7ABF" w:rsidRPr="00A02AF0">
              <w:rPr>
                <w:rFonts w:ascii="Arial" w:hAnsi="Arial" w:cs="Arial"/>
                <w:noProof/>
                <w:sz w:val="22"/>
              </w:rPr>
              <w:t xml:space="preserve">most commonly used </w:t>
            </w:r>
            <w:r w:rsidR="00BB1857" w:rsidRPr="00A02AF0">
              <w:rPr>
                <w:rFonts w:ascii="Arial" w:hAnsi="Arial" w:cs="Arial"/>
                <w:noProof/>
                <w:sz w:val="22"/>
              </w:rPr>
              <w:t>quantitative methods f</w:t>
            </w:r>
            <w:r w:rsidR="00DA7ABF" w:rsidRPr="00A02AF0">
              <w:rPr>
                <w:rFonts w:ascii="Arial" w:hAnsi="Arial" w:cs="Arial"/>
                <w:noProof/>
                <w:sz w:val="22"/>
              </w:rPr>
              <w:t xml:space="preserve">or </w:t>
            </w:r>
            <w:r w:rsidR="00FB7117" w:rsidRPr="00A02AF0">
              <w:rPr>
                <w:rFonts w:ascii="Arial" w:hAnsi="Arial" w:cs="Arial"/>
                <w:noProof/>
                <w:sz w:val="22"/>
              </w:rPr>
              <w:t>delineating</w:t>
            </w:r>
            <w:r w:rsidR="00DA7ABF" w:rsidRPr="00A02AF0">
              <w:rPr>
                <w:rFonts w:ascii="Arial" w:hAnsi="Arial" w:cs="Arial"/>
                <w:noProof/>
                <w:sz w:val="22"/>
              </w:rPr>
              <w:t xml:space="preserve"> the relevant market in antitrust and merger cases.</w:t>
            </w:r>
          </w:p>
          <w:p w:rsidR="008B4D7A" w:rsidRPr="00A02AF0" w:rsidRDefault="008B4D7A" w:rsidP="008B4D7A">
            <w:pPr>
              <w:spacing w:before="120" w:after="120"/>
              <w:jc w:val="both"/>
              <w:rPr>
                <w:rFonts w:ascii="Arial" w:hAnsi="Arial" w:cs="Arial"/>
                <w:noProof/>
                <w:sz w:val="22"/>
              </w:rPr>
            </w:pPr>
            <w:r w:rsidRPr="00A02AF0">
              <w:rPr>
                <w:rFonts w:ascii="Arial" w:hAnsi="Arial" w:cs="Arial"/>
                <w:noProof/>
                <w:sz w:val="22"/>
              </w:rPr>
              <w:t>Compehend the economic rationale behind SSNIP test and othe</w:t>
            </w:r>
            <w:r w:rsidR="00AE2D78" w:rsidRPr="00A02AF0">
              <w:rPr>
                <w:rFonts w:ascii="Arial" w:hAnsi="Arial" w:cs="Arial"/>
                <w:noProof/>
                <w:sz w:val="22"/>
              </w:rPr>
              <w:t>r</w:t>
            </w:r>
            <w:r w:rsidRPr="00A02AF0">
              <w:rPr>
                <w:rFonts w:ascii="Arial" w:hAnsi="Arial" w:cs="Arial"/>
                <w:noProof/>
                <w:sz w:val="22"/>
              </w:rPr>
              <w:t xml:space="preserve"> quantitative methods. </w:t>
            </w:r>
          </w:p>
          <w:p w:rsidR="00FB7117" w:rsidRPr="00A02AF0" w:rsidRDefault="00DA7ABF" w:rsidP="00ED1686">
            <w:pPr>
              <w:spacing w:before="120" w:after="120"/>
              <w:jc w:val="both"/>
              <w:rPr>
                <w:rFonts w:ascii="Arial" w:hAnsi="Arial" w:cs="Arial"/>
                <w:noProof/>
                <w:sz w:val="22"/>
              </w:rPr>
            </w:pPr>
            <w:r w:rsidRPr="00A02AF0">
              <w:rPr>
                <w:rFonts w:ascii="Arial" w:hAnsi="Arial" w:cs="Arial"/>
                <w:noProof/>
                <w:sz w:val="22"/>
              </w:rPr>
              <w:t>Aknowledge the limitations of the quantitative methods used to de</w:t>
            </w:r>
            <w:r w:rsidR="00FB7117" w:rsidRPr="00A02AF0">
              <w:rPr>
                <w:rFonts w:ascii="Arial" w:hAnsi="Arial" w:cs="Arial"/>
                <w:noProof/>
                <w:sz w:val="22"/>
              </w:rPr>
              <w:t>f</w:t>
            </w:r>
            <w:r w:rsidRPr="00A02AF0">
              <w:rPr>
                <w:rFonts w:ascii="Arial" w:hAnsi="Arial" w:cs="Arial"/>
                <w:noProof/>
                <w:sz w:val="22"/>
              </w:rPr>
              <w:t>ine the relevant market.</w:t>
            </w:r>
          </w:p>
          <w:p w:rsidR="00BB1857" w:rsidRPr="00B55121" w:rsidRDefault="005C088A" w:rsidP="00ED1686">
            <w:pPr>
              <w:spacing w:before="120" w:after="120"/>
              <w:jc w:val="both"/>
              <w:rPr>
                <w:rFonts w:ascii="Arial" w:hAnsi="Arial" w:cs="Arial"/>
                <w:noProof/>
              </w:rPr>
            </w:pPr>
            <w:r w:rsidRPr="00A02AF0">
              <w:rPr>
                <w:rFonts w:ascii="Arial" w:hAnsi="Arial" w:cs="Arial"/>
                <w:noProof/>
                <w:sz w:val="22"/>
              </w:rPr>
              <w:t>Recgnize and apprehend</w:t>
            </w:r>
            <w:r w:rsidR="00FB7117" w:rsidRPr="00A02AF0">
              <w:rPr>
                <w:rFonts w:ascii="Arial" w:hAnsi="Arial" w:cs="Arial"/>
                <w:noProof/>
                <w:sz w:val="22"/>
              </w:rPr>
              <w:t xml:space="preserve"> basic economic concepts.</w:t>
            </w:r>
          </w:p>
        </w:tc>
      </w:tr>
      <w:tr w:rsidR="00ED1686" w:rsidRPr="00B70287" w:rsidTr="00ED1686">
        <w:trPr>
          <w:trHeight w:val="55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p>
          <w:p w:rsidR="00ED1686" w:rsidRPr="00ED1686" w:rsidRDefault="00ED1686" w:rsidP="00ED1686">
            <w:pPr>
              <w:rPr>
                <w:rFonts w:ascii="Arial" w:hAnsi="Arial" w:cs="Arial"/>
                <w:b/>
                <w:lang w:val="en-GB"/>
              </w:rPr>
            </w:pPr>
            <w:r w:rsidRPr="00ED1686">
              <w:rPr>
                <w:rFonts w:ascii="Arial" w:hAnsi="Arial" w:cs="Arial"/>
                <w:b/>
                <w:sz w:val="22"/>
                <w:lang w:val="en-GB"/>
              </w:rPr>
              <w:t>Training materials/bibliography</w:t>
            </w:r>
          </w:p>
          <w:p w:rsidR="00ED1686" w:rsidRPr="00ED1686" w:rsidRDefault="00ED1686" w:rsidP="00ED1686">
            <w:pPr>
              <w:rPr>
                <w:rFonts w:ascii="Arial" w:hAnsi="Arial" w:cs="Arial"/>
                <w:b/>
              </w:rPr>
            </w:pPr>
          </w:p>
          <w:p w:rsidR="00ED1686" w:rsidRPr="00ED1686" w:rsidRDefault="00ED1686" w:rsidP="00ED1686">
            <w:pPr>
              <w:rPr>
                <w:rFonts w:ascii="Arial" w:hAnsi="Arial" w:cs="Arial"/>
                <w:b/>
              </w:rPr>
            </w:pP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04086D" w:rsidRPr="00A02AF0" w:rsidRDefault="001413F5" w:rsidP="00A02AF0">
            <w:pPr>
              <w:spacing w:before="120" w:after="120"/>
              <w:jc w:val="both"/>
              <w:rPr>
                <w:rStyle w:val="FollowedHyperlink"/>
                <w:rFonts w:ascii="Arial" w:hAnsi="Arial" w:cs="Arial"/>
                <w:color w:val="0000FF"/>
                <w:sz w:val="22"/>
                <w:lang w:val="el-GR"/>
              </w:rPr>
            </w:pPr>
            <w:hyperlink r:id="rId5" w:history="1">
              <w:r w:rsidR="006C0966" w:rsidRPr="00A02AF0">
                <w:rPr>
                  <w:rStyle w:val="FollowedHyperlink"/>
                  <w:rFonts w:ascii="Arial" w:hAnsi="Arial" w:cs="Arial"/>
                  <w:color w:val="0000FF"/>
                  <w:sz w:val="22"/>
                  <w:lang w:val="el-GR"/>
                </w:rPr>
                <w:t>Η πολιτικήτουΑνταγωνισμού στηνΚύπρο, ΝομικήΒιβλιοθήκη 2011, σελ. 79-91</w:t>
              </w:r>
            </w:hyperlink>
          </w:p>
          <w:p w:rsidR="006C0966" w:rsidRPr="00A02AF0" w:rsidRDefault="00DA7ABF" w:rsidP="00A02AF0">
            <w:pPr>
              <w:spacing w:before="120" w:after="120"/>
              <w:jc w:val="both"/>
              <w:rPr>
                <w:rStyle w:val="FollowedHyperlink"/>
                <w:rFonts w:ascii="Arial" w:hAnsi="Arial" w:cs="Arial"/>
                <w:color w:val="0000FF"/>
                <w:sz w:val="22"/>
              </w:rPr>
            </w:pPr>
            <w:r w:rsidRPr="00A02AF0">
              <w:rPr>
                <w:rStyle w:val="FollowedHyperlink"/>
                <w:rFonts w:ascii="Arial" w:hAnsi="Arial" w:cs="Arial"/>
                <w:color w:val="0000FF"/>
                <w:sz w:val="22"/>
              </w:rPr>
              <w:t xml:space="preserve">Commission notice on the definition of relevant market for the purposes of </w:t>
            </w:r>
            <w:hyperlink r:id="rId6" w:history="1">
              <w:r w:rsidRPr="00A02AF0">
                <w:rPr>
                  <w:rStyle w:val="FollowedHyperlink"/>
                  <w:rFonts w:ascii="Arial" w:hAnsi="Arial" w:cs="Arial"/>
                  <w:color w:val="0000FF"/>
                  <w:sz w:val="22"/>
                </w:rPr>
                <w:t>Community</w:t>
              </w:r>
            </w:hyperlink>
            <w:r w:rsidRPr="00A02AF0">
              <w:rPr>
                <w:rStyle w:val="FollowedHyperlink"/>
                <w:rFonts w:ascii="Arial" w:hAnsi="Arial" w:cs="Arial"/>
                <w:color w:val="0000FF"/>
                <w:sz w:val="22"/>
              </w:rPr>
              <w:t xml:space="preserve"> competition law (97/C 372/03)</w:t>
            </w:r>
          </w:p>
          <w:p w:rsidR="00DA7ABF" w:rsidRPr="00A02AF0" w:rsidRDefault="001413F5" w:rsidP="00A02AF0">
            <w:pPr>
              <w:spacing w:before="120" w:after="120"/>
              <w:jc w:val="both"/>
              <w:rPr>
                <w:rStyle w:val="FollowedHyperlink"/>
                <w:rFonts w:ascii="Arial" w:hAnsi="Arial" w:cs="Arial"/>
                <w:color w:val="0000FF"/>
                <w:sz w:val="22"/>
                <w:lang w:val="it-IT"/>
              </w:rPr>
            </w:pPr>
            <w:hyperlink r:id="rId7" w:history="1">
              <w:r w:rsidR="00DA7ABF" w:rsidRPr="00A02AF0">
                <w:rPr>
                  <w:rStyle w:val="FollowedHyperlink"/>
                  <w:rFonts w:ascii="Arial" w:hAnsi="Arial" w:cs="Arial"/>
                  <w:color w:val="0000FF"/>
                  <w:sz w:val="22"/>
                  <w:lang w:val="it-IT"/>
                </w:rPr>
                <w:t>Case No IV/M.190 - Nestlé/Perrier</w:t>
              </w:r>
            </w:hyperlink>
          </w:p>
          <w:p w:rsidR="003D4151" w:rsidRPr="00A02AF0" w:rsidRDefault="001413F5" w:rsidP="00A02AF0">
            <w:pPr>
              <w:spacing w:before="120" w:after="120"/>
              <w:jc w:val="both"/>
              <w:rPr>
                <w:rStyle w:val="FollowedHyperlink"/>
                <w:rFonts w:ascii="Arial" w:hAnsi="Arial" w:cs="Arial"/>
                <w:color w:val="0000FF"/>
                <w:sz w:val="22"/>
              </w:rPr>
            </w:pPr>
            <w:hyperlink r:id="rId8" w:history="1">
              <w:r w:rsidR="00B70287" w:rsidRPr="00A02AF0">
                <w:rPr>
                  <w:rStyle w:val="FollowedHyperlink"/>
                  <w:rFonts w:ascii="Arial" w:hAnsi="Arial" w:cs="Arial"/>
                  <w:color w:val="0000FF"/>
                  <w:sz w:val="22"/>
                </w:rPr>
                <w:t xml:space="preserve">Case 6/72, </w:t>
              </w:r>
              <w:r w:rsidR="003D4151" w:rsidRPr="00A02AF0">
                <w:rPr>
                  <w:rStyle w:val="FollowedHyperlink"/>
                  <w:rFonts w:ascii="Arial" w:hAnsi="Arial" w:cs="Arial"/>
                  <w:color w:val="0000FF"/>
                  <w:sz w:val="22"/>
                </w:rPr>
                <w:t>E</w:t>
              </w:r>
              <w:bookmarkStart w:id="0" w:name="_GoBack"/>
              <w:bookmarkEnd w:id="0"/>
              <w:r w:rsidR="003D4151" w:rsidRPr="00A02AF0">
                <w:rPr>
                  <w:rStyle w:val="FollowedHyperlink"/>
                  <w:rFonts w:ascii="Arial" w:hAnsi="Arial" w:cs="Arial"/>
                  <w:color w:val="0000FF"/>
                  <w:sz w:val="22"/>
                </w:rPr>
                <w:t>uropemballage Corporation and Continental Can Company Inc. v Commiss</w:t>
              </w:r>
              <w:r w:rsidR="00B70287" w:rsidRPr="00A02AF0">
                <w:rPr>
                  <w:rStyle w:val="FollowedHyperlink"/>
                  <w:rFonts w:ascii="Arial" w:hAnsi="Arial" w:cs="Arial"/>
                  <w:color w:val="0000FF"/>
                  <w:sz w:val="22"/>
                </w:rPr>
                <w:t>ion of the European Communities</w:t>
              </w:r>
            </w:hyperlink>
          </w:p>
          <w:p w:rsidR="00B70287" w:rsidRPr="00A02AF0" w:rsidRDefault="001413F5" w:rsidP="00A02AF0">
            <w:pPr>
              <w:spacing w:before="120" w:after="120"/>
              <w:jc w:val="both"/>
              <w:rPr>
                <w:rStyle w:val="FollowedHyperlink"/>
                <w:rFonts w:ascii="Arial" w:hAnsi="Arial" w:cs="Arial"/>
                <w:color w:val="0000FF"/>
                <w:sz w:val="22"/>
                <w:lang w:val="it-IT"/>
              </w:rPr>
            </w:pPr>
            <w:hyperlink r:id="rId9" w:history="1">
              <w:r w:rsidR="00B70287" w:rsidRPr="00A02AF0">
                <w:rPr>
                  <w:rStyle w:val="FollowedHyperlink"/>
                  <w:rFonts w:ascii="Arial" w:hAnsi="Arial" w:cs="Arial"/>
                  <w:color w:val="0000FF"/>
                  <w:sz w:val="22"/>
                  <w:lang w:val="it-IT"/>
                </w:rPr>
                <w:t>Case No IV/M.166 -TORRAS / SARRIO</w:t>
              </w:r>
            </w:hyperlink>
          </w:p>
          <w:p w:rsidR="00B70287" w:rsidRPr="00A02AF0" w:rsidRDefault="001413F5" w:rsidP="00A02AF0">
            <w:pPr>
              <w:spacing w:before="120" w:after="120"/>
              <w:jc w:val="both"/>
              <w:rPr>
                <w:rStyle w:val="FollowedHyperlink"/>
                <w:rFonts w:ascii="Arial" w:hAnsi="Arial" w:cs="Arial"/>
                <w:color w:val="0000FF"/>
                <w:sz w:val="22"/>
                <w:lang w:val="it-IT"/>
              </w:rPr>
            </w:pPr>
            <w:hyperlink r:id="rId10" w:history="1">
              <w:proofErr w:type="spellStart"/>
              <w:r w:rsidR="00B70287" w:rsidRPr="00A02AF0">
                <w:rPr>
                  <w:rStyle w:val="FollowedHyperlink"/>
                  <w:rFonts w:ascii="Arial" w:hAnsi="Arial" w:cs="Arial"/>
                  <w:color w:val="0000FF"/>
                  <w:sz w:val="22"/>
                </w:rPr>
                <w:t>Απόφαση</w:t>
              </w:r>
              <w:proofErr w:type="spellEnd"/>
              <w:r w:rsidR="00B70287" w:rsidRPr="00A02AF0">
                <w:rPr>
                  <w:rStyle w:val="FollowedHyperlink"/>
                  <w:rFonts w:ascii="Arial" w:hAnsi="Arial" w:cs="Arial"/>
                  <w:color w:val="0000FF"/>
                  <w:sz w:val="22"/>
                  <w:lang w:val="it-IT"/>
                </w:rPr>
                <w:t xml:space="preserve"> </w:t>
              </w:r>
              <w:r w:rsidR="00B70287" w:rsidRPr="00A02AF0">
                <w:rPr>
                  <w:rStyle w:val="FollowedHyperlink"/>
                  <w:rFonts w:ascii="Arial" w:hAnsi="Arial" w:cs="Arial"/>
                  <w:color w:val="0000FF"/>
                  <w:sz w:val="22"/>
                </w:rPr>
                <w:t>ΕΠΑ</w:t>
              </w:r>
              <w:r w:rsidR="00B70287" w:rsidRPr="00A02AF0">
                <w:rPr>
                  <w:rStyle w:val="FollowedHyperlink"/>
                  <w:rFonts w:ascii="Arial" w:hAnsi="Arial" w:cs="Arial"/>
                  <w:color w:val="0000FF"/>
                  <w:sz w:val="22"/>
                  <w:lang w:val="it-IT"/>
                </w:rPr>
                <w:t xml:space="preserve">: 86/2009 - </w:t>
              </w:r>
              <w:proofErr w:type="spellStart"/>
              <w:r w:rsidR="00B70287" w:rsidRPr="00A02AF0">
                <w:rPr>
                  <w:rStyle w:val="FollowedHyperlink"/>
                  <w:rFonts w:ascii="Arial" w:hAnsi="Arial" w:cs="Arial"/>
                  <w:color w:val="0000FF"/>
                  <w:sz w:val="22"/>
                </w:rPr>
                <w:t>Κοινοποίηση</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πράξηςσυγκέντρωσης</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από</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τηνεταιρεία</w:t>
              </w:r>
              <w:proofErr w:type="spellEnd"/>
              <w:r w:rsidR="00B70287" w:rsidRPr="00A02AF0">
                <w:rPr>
                  <w:rStyle w:val="FollowedHyperlink"/>
                  <w:rFonts w:ascii="Arial" w:hAnsi="Arial" w:cs="Arial"/>
                  <w:color w:val="0000FF"/>
                  <w:sz w:val="22"/>
                  <w:lang w:val="it-IT"/>
                </w:rPr>
                <w:t xml:space="preserve"> ATHINODOROU BROS SUPER BETON LTD </w:t>
              </w:r>
              <w:proofErr w:type="spellStart"/>
              <w:r w:rsidR="00B70287" w:rsidRPr="00A02AF0">
                <w:rPr>
                  <w:rStyle w:val="FollowedHyperlink"/>
                  <w:rFonts w:ascii="Arial" w:hAnsi="Arial" w:cs="Arial"/>
                  <w:color w:val="0000FF"/>
                  <w:sz w:val="22"/>
                </w:rPr>
                <w:t>για</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τηνεξαγορά</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του</w:t>
              </w:r>
              <w:proofErr w:type="spellEnd"/>
              <w:r w:rsidR="00B70287" w:rsidRPr="00A02AF0">
                <w:rPr>
                  <w:rStyle w:val="FollowedHyperlink"/>
                  <w:rFonts w:ascii="Arial" w:hAnsi="Arial" w:cs="Arial"/>
                  <w:color w:val="0000FF"/>
                  <w:sz w:val="22"/>
                  <w:lang w:val="it-IT"/>
                </w:rPr>
                <w:t xml:space="preserve">50% </w:t>
              </w:r>
              <w:proofErr w:type="spellStart"/>
              <w:r w:rsidR="00B70287" w:rsidRPr="00A02AF0">
                <w:rPr>
                  <w:rStyle w:val="FollowedHyperlink"/>
                  <w:rFonts w:ascii="Arial" w:hAnsi="Arial" w:cs="Arial"/>
                  <w:color w:val="0000FF"/>
                  <w:sz w:val="22"/>
                </w:rPr>
                <w:t>τουμετοχικούκεφαλαίου</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τωνεταιρειών</w:t>
              </w:r>
              <w:proofErr w:type="spellEnd"/>
              <w:r w:rsidR="00B70287" w:rsidRPr="00A02AF0">
                <w:rPr>
                  <w:rStyle w:val="FollowedHyperlink"/>
                  <w:rFonts w:ascii="Arial" w:hAnsi="Arial" w:cs="Arial"/>
                  <w:color w:val="0000FF"/>
                  <w:sz w:val="22"/>
                  <w:lang w:val="it-IT"/>
                </w:rPr>
                <w:t xml:space="preserve"> Athinodorou Beton Ltd, Athinodorou Beton-Estates Ltd </w:t>
              </w:r>
              <w:proofErr w:type="spellStart"/>
              <w:r w:rsidR="00B70287" w:rsidRPr="00A02AF0">
                <w:rPr>
                  <w:rStyle w:val="FollowedHyperlink"/>
                  <w:rFonts w:ascii="Arial" w:hAnsi="Arial" w:cs="Arial"/>
                  <w:color w:val="0000FF"/>
                  <w:sz w:val="22"/>
                </w:rPr>
                <w:t>και</w:t>
              </w:r>
              <w:proofErr w:type="spellEnd"/>
              <w:r w:rsidR="00B70287" w:rsidRPr="00A02AF0">
                <w:rPr>
                  <w:rStyle w:val="FollowedHyperlink"/>
                  <w:rFonts w:ascii="Arial" w:hAnsi="Arial" w:cs="Arial"/>
                  <w:color w:val="0000FF"/>
                  <w:sz w:val="22"/>
                  <w:lang w:val="it-IT"/>
                </w:rPr>
                <w:t xml:space="preserve"> Athinodorou Beton-Transport Ltd, </w:t>
              </w:r>
              <w:proofErr w:type="spellStart"/>
              <w:r w:rsidR="00B70287" w:rsidRPr="00A02AF0">
                <w:rPr>
                  <w:rStyle w:val="FollowedHyperlink"/>
                  <w:rFonts w:ascii="Arial" w:hAnsi="Arial" w:cs="Arial"/>
                  <w:color w:val="0000FF"/>
                  <w:sz w:val="22"/>
                </w:rPr>
                <w:t>από</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τιςεταιρείες</w:t>
              </w:r>
              <w:proofErr w:type="spellEnd"/>
              <w:r w:rsidR="00B70287" w:rsidRPr="00A02AF0">
                <w:rPr>
                  <w:rStyle w:val="FollowedHyperlink"/>
                  <w:rFonts w:ascii="Arial" w:hAnsi="Arial" w:cs="Arial"/>
                  <w:color w:val="0000FF"/>
                  <w:sz w:val="22"/>
                  <w:lang w:val="it-IT"/>
                </w:rPr>
                <w:t xml:space="preserve"> C.C.C. Building Materials Limited </w:t>
              </w:r>
              <w:proofErr w:type="spellStart"/>
              <w:r w:rsidR="00B70287" w:rsidRPr="00A02AF0">
                <w:rPr>
                  <w:rStyle w:val="FollowedHyperlink"/>
                  <w:rFonts w:ascii="Arial" w:hAnsi="Arial" w:cs="Arial"/>
                  <w:color w:val="0000FF"/>
                  <w:sz w:val="22"/>
                </w:rPr>
                <w:t>και</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Λατομεία</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Λατούρος</w:t>
              </w:r>
              <w:proofErr w:type="spellEnd"/>
              <w:r w:rsidR="00B70287" w:rsidRPr="00A02AF0">
                <w:rPr>
                  <w:rStyle w:val="FollowedHyperlink"/>
                  <w:rFonts w:ascii="Arial" w:hAnsi="Arial" w:cs="Arial"/>
                  <w:color w:val="0000FF"/>
                  <w:sz w:val="22"/>
                  <w:lang w:val="it-IT"/>
                </w:rPr>
                <w:t xml:space="preserve"> </w:t>
              </w:r>
              <w:proofErr w:type="spellStart"/>
              <w:r w:rsidR="00B70287" w:rsidRPr="00A02AF0">
                <w:rPr>
                  <w:rStyle w:val="FollowedHyperlink"/>
                  <w:rFonts w:ascii="Arial" w:hAnsi="Arial" w:cs="Arial"/>
                  <w:color w:val="0000FF"/>
                  <w:sz w:val="22"/>
                </w:rPr>
                <w:t>Λτδ</w:t>
              </w:r>
              <w:proofErr w:type="spellEnd"/>
            </w:hyperlink>
          </w:p>
          <w:p w:rsidR="00E210D8" w:rsidRPr="00A02AF0" w:rsidRDefault="001413F5" w:rsidP="00A02AF0">
            <w:pPr>
              <w:spacing w:before="120" w:after="120"/>
              <w:jc w:val="both"/>
              <w:rPr>
                <w:rStyle w:val="FollowedHyperlink"/>
                <w:rFonts w:ascii="Arial" w:hAnsi="Arial" w:cs="Arial"/>
                <w:color w:val="0000FF"/>
                <w:sz w:val="22"/>
              </w:rPr>
            </w:pPr>
            <w:hyperlink r:id="rId11" w:history="1">
              <w:r w:rsidR="00E210D8" w:rsidRPr="00A02AF0">
                <w:rPr>
                  <w:rStyle w:val="FollowedHyperlink"/>
                  <w:rFonts w:ascii="Arial" w:hAnsi="Arial" w:cs="Arial"/>
                  <w:color w:val="0000FF"/>
                  <w:sz w:val="22"/>
                </w:rPr>
                <w:t xml:space="preserve">Case 322/81, NV </w:t>
              </w:r>
              <w:proofErr w:type="spellStart"/>
              <w:r w:rsidR="00E210D8" w:rsidRPr="00A02AF0">
                <w:rPr>
                  <w:rStyle w:val="FollowedHyperlink"/>
                  <w:rFonts w:ascii="Arial" w:hAnsi="Arial" w:cs="Arial"/>
                  <w:color w:val="0000FF"/>
                  <w:sz w:val="22"/>
                </w:rPr>
                <w:t>NederlandscheBandenIndustrie</w:t>
              </w:r>
              <w:proofErr w:type="spellEnd"/>
              <w:r w:rsidR="00E210D8" w:rsidRPr="00A02AF0">
                <w:rPr>
                  <w:rStyle w:val="FollowedHyperlink"/>
                  <w:rFonts w:ascii="Arial" w:hAnsi="Arial" w:cs="Arial"/>
                  <w:color w:val="0000FF"/>
                  <w:sz w:val="22"/>
                </w:rPr>
                <w:t xml:space="preserve"> Michelin v Commission of the European Communities</w:t>
              </w:r>
            </w:hyperlink>
          </w:p>
          <w:p w:rsidR="00E210D8" w:rsidRPr="00A02AF0" w:rsidRDefault="001413F5" w:rsidP="00A02AF0">
            <w:pPr>
              <w:spacing w:before="120" w:after="120"/>
              <w:jc w:val="both"/>
              <w:rPr>
                <w:rStyle w:val="FollowedHyperlink"/>
                <w:rFonts w:ascii="Arial" w:hAnsi="Arial" w:cs="Arial"/>
                <w:color w:val="0000FF"/>
                <w:sz w:val="22"/>
              </w:rPr>
            </w:pPr>
            <w:hyperlink r:id="rId12" w:history="1">
              <w:r w:rsidR="00E210D8" w:rsidRPr="00A02AF0">
                <w:rPr>
                  <w:rStyle w:val="FollowedHyperlink"/>
                  <w:rFonts w:ascii="Arial" w:hAnsi="Arial" w:cs="Arial"/>
                  <w:color w:val="0000FF"/>
                  <w:sz w:val="22"/>
                </w:rPr>
                <w:t xml:space="preserve">Case C-333/94 P Tetra Pak International SA v Commission of the </w:t>
              </w:r>
              <w:r w:rsidR="00E210D8" w:rsidRPr="00A02AF0">
                <w:rPr>
                  <w:rStyle w:val="FollowedHyperlink"/>
                  <w:rFonts w:ascii="Arial" w:hAnsi="Arial" w:cs="Arial"/>
                  <w:color w:val="0000FF"/>
                  <w:sz w:val="22"/>
                </w:rPr>
                <w:lastRenderedPageBreak/>
                <w:t>European Communities</w:t>
              </w:r>
            </w:hyperlink>
          </w:p>
          <w:p w:rsidR="005C088A" w:rsidRPr="00A02AF0" w:rsidRDefault="001413F5" w:rsidP="00A02AF0">
            <w:pPr>
              <w:pStyle w:val="Heading3"/>
              <w:shd w:val="clear" w:color="auto" w:fill="FFFFFF"/>
              <w:spacing w:before="120" w:after="120"/>
              <w:rPr>
                <w:rStyle w:val="FollowedHyperlink"/>
                <w:rFonts w:ascii="Arial" w:hAnsi="Arial" w:cs="Arial"/>
                <w:color w:val="0000FF"/>
                <w:sz w:val="22"/>
              </w:rPr>
            </w:pPr>
            <w:hyperlink r:id="rId13" w:history="1">
              <w:r w:rsidR="00E210D8" w:rsidRPr="00A02AF0">
                <w:rPr>
                  <w:rStyle w:val="FollowedHyperlink"/>
                  <w:rFonts w:ascii="Arial" w:hAnsi="Arial" w:cs="Arial"/>
                  <w:color w:val="0000FF"/>
                  <w:sz w:val="22"/>
                </w:rPr>
                <w:t>Case No COMP/M.3686 -HONEYWELL / NOVAR</w:t>
              </w:r>
            </w:hyperlink>
          </w:p>
          <w:p w:rsidR="006C0966" w:rsidRPr="00A02AF0" w:rsidRDefault="001413F5" w:rsidP="00A02AF0">
            <w:pPr>
              <w:pStyle w:val="Heading3"/>
              <w:shd w:val="clear" w:color="auto" w:fill="FFFFFF"/>
              <w:spacing w:before="120" w:after="120"/>
              <w:rPr>
                <w:rFonts w:ascii="Arial" w:hAnsi="Arial" w:cs="Arial"/>
                <w:color w:val="0000FF"/>
                <w:sz w:val="22"/>
                <w:u w:val="single"/>
              </w:rPr>
            </w:pPr>
            <w:hyperlink r:id="rId14" w:history="1">
              <w:r w:rsidR="005C088A" w:rsidRPr="00A02AF0">
                <w:rPr>
                  <w:rStyle w:val="FollowedHyperlink"/>
                  <w:rFonts w:ascii="Arial" w:hAnsi="Arial" w:cs="Arial"/>
                  <w:color w:val="0000FF"/>
                  <w:sz w:val="22"/>
                </w:rPr>
                <w:t>United States v. E. I. du Pont de Nemours &amp; Co., 351 U.S. 377 (1956</w:t>
              </w:r>
              <w:r w:rsidR="00A97EDF" w:rsidRPr="00A02AF0">
                <w:rPr>
                  <w:rStyle w:val="FollowedHyperlink"/>
                  <w:rFonts w:ascii="Arial" w:hAnsi="Arial" w:cs="Arial"/>
                  <w:color w:val="0000FF"/>
                  <w:sz w:val="22"/>
                </w:rPr>
                <w:t>)</w:t>
              </w:r>
            </w:hyperlink>
          </w:p>
        </w:tc>
      </w:tr>
      <w:tr w:rsidR="00ED1686" w:rsidRPr="00AC0285" w:rsidTr="00ED1686">
        <w:trPr>
          <w:trHeight w:val="830"/>
        </w:trPr>
        <w:tc>
          <w:tcPr>
            <w:tcW w:w="2835" w:type="dxa"/>
            <w:tcBorders>
              <w:top w:val="single" w:sz="4" w:space="0" w:color="auto"/>
              <w:left w:val="single" w:sz="4" w:space="0" w:color="auto"/>
              <w:bottom w:val="single" w:sz="4" w:space="0" w:color="auto"/>
              <w:right w:val="single" w:sz="4" w:space="0" w:color="auto"/>
            </w:tcBorders>
            <w:vAlign w:val="bottom"/>
          </w:tcPr>
          <w:p w:rsidR="00ED1686" w:rsidRPr="00ED1686" w:rsidRDefault="00ED1686" w:rsidP="00ED1686">
            <w:pPr>
              <w:rPr>
                <w:rFonts w:ascii="Arial" w:hAnsi="Arial" w:cs="Arial"/>
                <w:b/>
                <w:lang w:val="en-GB"/>
              </w:rPr>
            </w:pPr>
            <w:r w:rsidRPr="00ED1686">
              <w:rPr>
                <w:rFonts w:ascii="Arial" w:hAnsi="Arial" w:cs="Arial"/>
                <w:b/>
                <w:sz w:val="22"/>
                <w:lang w:val="en-GB"/>
              </w:rPr>
              <w:lastRenderedPageBreak/>
              <w:t>Teaching Methodology</w:t>
            </w:r>
          </w:p>
          <w:p w:rsidR="00ED1686" w:rsidRPr="00ED1686" w:rsidRDefault="00ED1686" w:rsidP="00ED1686">
            <w:pPr>
              <w:rPr>
                <w:rFonts w:ascii="Arial" w:hAnsi="Arial" w:cs="Arial"/>
                <w:b/>
                <w:lang w:val="it-IT"/>
              </w:rPr>
            </w:pPr>
          </w:p>
        </w:tc>
        <w:tc>
          <w:tcPr>
            <w:tcW w:w="6793" w:type="dxa"/>
            <w:tcBorders>
              <w:top w:val="single" w:sz="4" w:space="0" w:color="auto"/>
              <w:left w:val="single" w:sz="4" w:space="0" w:color="auto"/>
              <w:bottom w:val="single" w:sz="4" w:space="0" w:color="auto"/>
            </w:tcBorders>
            <w:vAlign w:val="center"/>
          </w:tcPr>
          <w:p w:rsidR="00BB1857" w:rsidRPr="00A02AF0" w:rsidRDefault="00BB1857" w:rsidP="00ED1686">
            <w:pPr>
              <w:rPr>
                <w:rFonts w:ascii="Arial" w:hAnsi="Arial" w:cs="Arial"/>
                <w:sz w:val="22"/>
                <w:szCs w:val="22"/>
              </w:rPr>
            </w:pPr>
            <w:r w:rsidRPr="00A02AF0">
              <w:rPr>
                <w:rFonts w:ascii="Arial" w:hAnsi="Arial" w:cs="Arial"/>
                <w:sz w:val="22"/>
                <w:szCs w:val="22"/>
              </w:rPr>
              <w:t>PowerPoint presentation</w:t>
            </w:r>
          </w:p>
        </w:tc>
        <w:tc>
          <w:tcPr>
            <w:tcW w:w="298" w:type="dxa"/>
            <w:tcBorders>
              <w:top w:val="single" w:sz="4" w:space="0" w:color="auto"/>
              <w:left w:val="nil"/>
              <w:bottom w:val="single" w:sz="4" w:space="0" w:color="auto"/>
              <w:right w:val="single" w:sz="4" w:space="0" w:color="auto"/>
            </w:tcBorders>
            <w:vAlign w:val="center"/>
          </w:tcPr>
          <w:p w:rsidR="00ED1686" w:rsidRPr="002D403D" w:rsidRDefault="00ED1686" w:rsidP="00ED1686">
            <w:pPr>
              <w:rPr>
                <w:rFonts w:ascii="Arial" w:hAnsi="Arial" w:cs="Arial"/>
                <w:lang w:val="en-GB"/>
              </w:rPr>
            </w:pPr>
          </w:p>
        </w:tc>
      </w:tr>
      <w:tr w:rsidR="00ED1686" w:rsidRPr="00E13EE4" w:rsidTr="00ED1686">
        <w:trPr>
          <w:trHeight w:val="567"/>
        </w:trPr>
        <w:tc>
          <w:tcPr>
            <w:tcW w:w="2835" w:type="dxa"/>
            <w:tcBorders>
              <w:top w:val="single" w:sz="4" w:space="0" w:color="auto"/>
              <w:left w:val="single" w:sz="4" w:space="0" w:color="auto"/>
              <w:bottom w:val="single" w:sz="4" w:space="0" w:color="auto"/>
              <w:right w:val="single" w:sz="4" w:space="0" w:color="auto"/>
            </w:tcBorders>
            <w:vAlign w:val="center"/>
          </w:tcPr>
          <w:p w:rsidR="00ED1686" w:rsidRPr="00ED1686" w:rsidRDefault="00ED1686" w:rsidP="00ED1686">
            <w:pPr>
              <w:rPr>
                <w:rFonts w:ascii="Arial" w:hAnsi="Arial" w:cs="Arial"/>
                <w:b/>
              </w:rPr>
            </w:pPr>
            <w:r w:rsidRPr="00ED1686">
              <w:rPr>
                <w:rFonts w:ascii="Arial" w:hAnsi="Arial" w:cs="Arial"/>
                <w:b/>
                <w:sz w:val="22"/>
                <w:lang w:val="en-GB"/>
              </w:rPr>
              <w:t>Language</w:t>
            </w:r>
          </w:p>
        </w:tc>
        <w:tc>
          <w:tcPr>
            <w:tcW w:w="7091" w:type="dxa"/>
            <w:gridSpan w:val="2"/>
            <w:tcBorders>
              <w:top w:val="single" w:sz="4" w:space="0" w:color="auto"/>
              <w:left w:val="single" w:sz="4" w:space="0" w:color="auto"/>
              <w:bottom w:val="single" w:sz="4" w:space="0" w:color="auto"/>
              <w:right w:val="single" w:sz="4" w:space="0" w:color="auto"/>
            </w:tcBorders>
            <w:vAlign w:val="center"/>
          </w:tcPr>
          <w:p w:rsidR="00ED1686" w:rsidRPr="00A02AF0" w:rsidRDefault="006E11EB" w:rsidP="00ED1686">
            <w:pPr>
              <w:rPr>
                <w:rFonts w:ascii="Arial" w:hAnsi="Arial" w:cs="Arial"/>
                <w:sz w:val="22"/>
                <w:szCs w:val="22"/>
                <w:lang w:val="en-GB"/>
              </w:rPr>
            </w:pPr>
            <w:r w:rsidRPr="00A02AF0">
              <w:rPr>
                <w:rFonts w:ascii="Arial" w:hAnsi="Arial" w:cs="Arial"/>
                <w:sz w:val="22"/>
                <w:szCs w:val="22"/>
                <w:lang w:val="en-GB"/>
              </w:rPr>
              <w:t>Greek</w:t>
            </w:r>
          </w:p>
        </w:tc>
      </w:tr>
    </w:tbl>
    <w:p w:rsidR="00B902C8" w:rsidRPr="00ED1686" w:rsidRDefault="00B902C8" w:rsidP="009F0A49"/>
    <w:sectPr w:rsidR="00B902C8" w:rsidRPr="00ED1686" w:rsidSect="006258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0201E8"/>
    <w:lvl w:ilvl="0">
      <w:start w:val="1"/>
      <w:numFmt w:val="decimal"/>
      <w:lvlText w:val="%1."/>
      <w:lvlJc w:val="left"/>
      <w:pPr>
        <w:tabs>
          <w:tab w:val="num" w:pos="1492"/>
        </w:tabs>
        <w:ind w:left="1492" w:hanging="360"/>
      </w:pPr>
    </w:lvl>
  </w:abstractNum>
  <w:abstractNum w:abstractNumId="1">
    <w:nsid w:val="FFFFFF7D"/>
    <w:multiLevelType w:val="singleLevel"/>
    <w:tmpl w:val="4FD0650C"/>
    <w:lvl w:ilvl="0">
      <w:start w:val="1"/>
      <w:numFmt w:val="decimal"/>
      <w:lvlText w:val="%1."/>
      <w:lvlJc w:val="left"/>
      <w:pPr>
        <w:tabs>
          <w:tab w:val="num" w:pos="1209"/>
        </w:tabs>
        <w:ind w:left="1209" w:hanging="360"/>
      </w:pPr>
    </w:lvl>
  </w:abstractNum>
  <w:abstractNum w:abstractNumId="2">
    <w:nsid w:val="FFFFFF7E"/>
    <w:multiLevelType w:val="singleLevel"/>
    <w:tmpl w:val="1CD0C800"/>
    <w:lvl w:ilvl="0">
      <w:start w:val="1"/>
      <w:numFmt w:val="decimal"/>
      <w:lvlText w:val="%1."/>
      <w:lvlJc w:val="left"/>
      <w:pPr>
        <w:tabs>
          <w:tab w:val="num" w:pos="926"/>
        </w:tabs>
        <w:ind w:left="926" w:hanging="360"/>
      </w:pPr>
    </w:lvl>
  </w:abstractNum>
  <w:abstractNum w:abstractNumId="3">
    <w:nsid w:val="FFFFFF7F"/>
    <w:multiLevelType w:val="singleLevel"/>
    <w:tmpl w:val="4D3EDCB2"/>
    <w:lvl w:ilvl="0">
      <w:start w:val="1"/>
      <w:numFmt w:val="decimal"/>
      <w:lvlText w:val="%1."/>
      <w:lvlJc w:val="left"/>
      <w:pPr>
        <w:tabs>
          <w:tab w:val="num" w:pos="643"/>
        </w:tabs>
        <w:ind w:left="643" w:hanging="360"/>
      </w:pPr>
    </w:lvl>
  </w:abstractNum>
  <w:abstractNum w:abstractNumId="4">
    <w:nsid w:val="FFFFFF80"/>
    <w:multiLevelType w:val="singleLevel"/>
    <w:tmpl w:val="0F58F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0E7C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6F82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62A5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E8BE18"/>
    <w:lvl w:ilvl="0">
      <w:start w:val="1"/>
      <w:numFmt w:val="decimal"/>
      <w:lvlText w:val="%1."/>
      <w:lvlJc w:val="left"/>
      <w:pPr>
        <w:tabs>
          <w:tab w:val="num" w:pos="360"/>
        </w:tabs>
        <w:ind w:left="360" w:hanging="360"/>
      </w:pPr>
    </w:lvl>
  </w:abstractNum>
  <w:abstractNum w:abstractNumId="9">
    <w:nsid w:val="FFFFFF89"/>
    <w:multiLevelType w:val="singleLevel"/>
    <w:tmpl w:val="E304A5DA"/>
    <w:lvl w:ilvl="0">
      <w:start w:val="1"/>
      <w:numFmt w:val="bullet"/>
      <w:lvlText w:val=""/>
      <w:lvlJc w:val="left"/>
      <w:pPr>
        <w:tabs>
          <w:tab w:val="num" w:pos="360"/>
        </w:tabs>
        <w:ind w:left="360" w:hanging="360"/>
      </w:pPr>
      <w:rPr>
        <w:rFonts w:ascii="Symbol" w:hAnsi="Symbol" w:hint="default"/>
      </w:rPr>
    </w:lvl>
  </w:abstractNum>
  <w:abstractNum w:abstractNumId="10">
    <w:nsid w:val="13E87191"/>
    <w:multiLevelType w:val="hybridMultilevel"/>
    <w:tmpl w:val="0C8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21A66"/>
    <w:multiLevelType w:val="hybridMultilevel"/>
    <w:tmpl w:val="C178A096"/>
    <w:lvl w:ilvl="0" w:tplc="47E0CF96">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7E5E83"/>
    <w:multiLevelType w:val="hybridMultilevel"/>
    <w:tmpl w:val="438E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BD26C2"/>
    <w:multiLevelType w:val="hybridMultilevel"/>
    <w:tmpl w:val="DE2CD6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24054B4"/>
    <w:multiLevelType w:val="hybridMultilevel"/>
    <w:tmpl w:val="DDD2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006A1B"/>
    <w:multiLevelType w:val="hybridMultilevel"/>
    <w:tmpl w:val="AAD06B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BD32614"/>
    <w:multiLevelType w:val="hybridMultilevel"/>
    <w:tmpl w:val="24425F72"/>
    <w:lvl w:ilvl="0" w:tplc="041879EA">
      <w:start w:val="1"/>
      <w:numFmt w:val="bullet"/>
      <w:lvlText w:val="•"/>
      <w:lvlJc w:val="left"/>
      <w:pPr>
        <w:tabs>
          <w:tab w:val="num" w:pos="720"/>
        </w:tabs>
        <w:ind w:left="720" w:hanging="360"/>
      </w:pPr>
      <w:rPr>
        <w:rFonts w:ascii="Arial" w:hAnsi="Arial" w:hint="default"/>
      </w:rPr>
    </w:lvl>
    <w:lvl w:ilvl="1" w:tplc="6248CCE6">
      <w:numFmt w:val="bullet"/>
      <w:lvlText w:val="•"/>
      <w:lvlJc w:val="left"/>
      <w:pPr>
        <w:tabs>
          <w:tab w:val="num" w:pos="1440"/>
        </w:tabs>
        <w:ind w:left="1440" w:hanging="360"/>
      </w:pPr>
      <w:rPr>
        <w:rFonts w:ascii="Arial" w:hAnsi="Arial" w:hint="default"/>
      </w:rPr>
    </w:lvl>
    <w:lvl w:ilvl="2" w:tplc="1E120CF4" w:tentative="1">
      <w:start w:val="1"/>
      <w:numFmt w:val="bullet"/>
      <w:lvlText w:val="•"/>
      <w:lvlJc w:val="left"/>
      <w:pPr>
        <w:tabs>
          <w:tab w:val="num" w:pos="2160"/>
        </w:tabs>
        <w:ind w:left="2160" w:hanging="360"/>
      </w:pPr>
      <w:rPr>
        <w:rFonts w:ascii="Arial" w:hAnsi="Arial" w:hint="default"/>
      </w:rPr>
    </w:lvl>
    <w:lvl w:ilvl="3" w:tplc="45C64284" w:tentative="1">
      <w:start w:val="1"/>
      <w:numFmt w:val="bullet"/>
      <w:lvlText w:val="•"/>
      <w:lvlJc w:val="left"/>
      <w:pPr>
        <w:tabs>
          <w:tab w:val="num" w:pos="2880"/>
        </w:tabs>
        <w:ind w:left="2880" w:hanging="360"/>
      </w:pPr>
      <w:rPr>
        <w:rFonts w:ascii="Arial" w:hAnsi="Arial" w:hint="default"/>
      </w:rPr>
    </w:lvl>
    <w:lvl w:ilvl="4" w:tplc="38404374" w:tentative="1">
      <w:start w:val="1"/>
      <w:numFmt w:val="bullet"/>
      <w:lvlText w:val="•"/>
      <w:lvlJc w:val="left"/>
      <w:pPr>
        <w:tabs>
          <w:tab w:val="num" w:pos="3600"/>
        </w:tabs>
        <w:ind w:left="3600" w:hanging="360"/>
      </w:pPr>
      <w:rPr>
        <w:rFonts w:ascii="Arial" w:hAnsi="Arial" w:hint="default"/>
      </w:rPr>
    </w:lvl>
    <w:lvl w:ilvl="5" w:tplc="19FC3FDA" w:tentative="1">
      <w:start w:val="1"/>
      <w:numFmt w:val="bullet"/>
      <w:lvlText w:val="•"/>
      <w:lvlJc w:val="left"/>
      <w:pPr>
        <w:tabs>
          <w:tab w:val="num" w:pos="4320"/>
        </w:tabs>
        <w:ind w:left="4320" w:hanging="360"/>
      </w:pPr>
      <w:rPr>
        <w:rFonts w:ascii="Arial" w:hAnsi="Arial" w:hint="default"/>
      </w:rPr>
    </w:lvl>
    <w:lvl w:ilvl="6" w:tplc="E7A08E44" w:tentative="1">
      <w:start w:val="1"/>
      <w:numFmt w:val="bullet"/>
      <w:lvlText w:val="•"/>
      <w:lvlJc w:val="left"/>
      <w:pPr>
        <w:tabs>
          <w:tab w:val="num" w:pos="5040"/>
        </w:tabs>
        <w:ind w:left="5040" w:hanging="360"/>
      </w:pPr>
      <w:rPr>
        <w:rFonts w:ascii="Arial" w:hAnsi="Arial" w:hint="default"/>
      </w:rPr>
    </w:lvl>
    <w:lvl w:ilvl="7" w:tplc="32706BF4" w:tentative="1">
      <w:start w:val="1"/>
      <w:numFmt w:val="bullet"/>
      <w:lvlText w:val="•"/>
      <w:lvlJc w:val="left"/>
      <w:pPr>
        <w:tabs>
          <w:tab w:val="num" w:pos="5760"/>
        </w:tabs>
        <w:ind w:left="5760" w:hanging="360"/>
      </w:pPr>
      <w:rPr>
        <w:rFonts w:ascii="Arial" w:hAnsi="Arial" w:hint="default"/>
      </w:rPr>
    </w:lvl>
    <w:lvl w:ilvl="8" w:tplc="10B09BC2"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15"/>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hyphenationZone w:val="283"/>
  <w:characterSpacingControl w:val="doNotCompress"/>
  <w:compat/>
  <w:rsids>
    <w:rsidRoot w:val="00752B25"/>
    <w:rsid w:val="00024C21"/>
    <w:rsid w:val="0004086D"/>
    <w:rsid w:val="00065611"/>
    <w:rsid w:val="00094DB0"/>
    <w:rsid w:val="00096C44"/>
    <w:rsid w:val="000C3F1B"/>
    <w:rsid w:val="000C7640"/>
    <w:rsid w:val="000E2A08"/>
    <w:rsid w:val="00134F21"/>
    <w:rsid w:val="001413F5"/>
    <w:rsid w:val="001610DC"/>
    <w:rsid w:val="001652EF"/>
    <w:rsid w:val="00181762"/>
    <w:rsid w:val="00194A5D"/>
    <w:rsid w:val="001B647A"/>
    <w:rsid w:val="001C2D8A"/>
    <w:rsid w:val="001F33EE"/>
    <w:rsid w:val="0021735D"/>
    <w:rsid w:val="00236157"/>
    <w:rsid w:val="0027174A"/>
    <w:rsid w:val="00281020"/>
    <w:rsid w:val="00290CFC"/>
    <w:rsid w:val="00292144"/>
    <w:rsid w:val="002A702C"/>
    <w:rsid w:val="002D403D"/>
    <w:rsid w:val="002D5F97"/>
    <w:rsid w:val="002E7470"/>
    <w:rsid w:val="00330813"/>
    <w:rsid w:val="00335917"/>
    <w:rsid w:val="00343FEB"/>
    <w:rsid w:val="00344E1D"/>
    <w:rsid w:val="0035497D"/>
    <w:rsid w:val="00362B22"/>
    <w:rsid w:val="0038536B"/>
    <w:rsid w:val="00392AA1"/>
    <w:rsid w:val="003D4151"/>
    <w:rsid w:val="003E4613"/>
    <w:rsid w:val="003F2756"/>
    <w:rsid w:val="00405767"/>
    <w:rsid w:val="00422AB5"/>
    <w:rsid w:val="004242C1"/>
    <w:rsid w:val="00433DBD"/>
    <w:rsid w:val="00451D5C"/>
    <w:rsid w:val="004532E6"/>
    <w:rsid w:val="00454ED5"/>
    <w:rsid w:val="0045710F"/>
    <w:rsid w:val="004A0B91"/>
    <w:rsid w:val="004A1EED"/>
    <w:rsid w:val="004C15E3"/>
    <w:rsid w:val="004E4826"/>
    <w:rsid w:val="004F712D"/>
    <w:rsid w:val="005108F8"/>
    <w:rsid w:val="00521F0E"/>
    <w:rsid w:val="005237D1"/>
    <w:rsid w:val="00564D9B"/>
    <w:rsid w:val="00573AE7"/>
    <w:rsid w:val="005B06A8"/>
    <w:rsid w:val="005B5970"/>
    <w:rsid w:val="005C010B"/>
    <w:rsid w:val="005C088A"/>
    <w:rsid w:val="005D3B70"/>
    <w:rsid w:val="005E6B20"/>
    <w:rsid w:val="00601BA3"/>
    <w:rsid w:val="00625839"/>
    <w:rsid w:val="006264BB"/>
    <w:rsid w:val="00650997"/>
    <w:rsid w:val="0065110D"/>
    <w:rsid w:val="00664E7A"/>
    <w:rsid w:val="00694C61"/>
    <w:rsid w:val="006A493C"/>
    <w:rsid w:val="006C0966"/>
    <w:rsid w:val="006C12DB"/>
    <w:rsid w:val="006C67D4"/>
    <w:rsid w:val="006C6A05"/>
    <w:rsid w:val="006D1521"/>
    <w:rsid w:val="006E11EB"/>
    <w:rsid w:val="006E60D0"/>
    <w:rsid w:val="007024ED"/>
    <w:rsid w:val="007065BE"/>
    <w:rsid w:val="007410D0"/>
    <w:rsid w:val="00742517"/>
    <w:rsid w:val="007520A5"/>
    <w:rsid w:val="00752B25"/>
    <w:rsid w:val="00756F93"/>
    <w:rsid w:val="00761566"/>
    <w:rsid w:val="00776655"/>
    <w:rsid w:val="00777ED5"/>
    <w:rsid w:val="00797CDA"/>
    <w:rsid w:val="007B4922"/>
    <w:rsid w:val="007D4DC0"/>
    <w:rsid w:val="007E1FA2"/>
    <w:rsid w:val="007F2457"/>
    <w:rsid w:val="0081079A"/>
    <w:rsid w:val="00814E55"/>
    <w:rsid w:val="00835AB7"/>
    <w:rsid w:val="00835F79"/>
    <w:rsid w:val="0085081B"/>
    <w:rsid w:val="00851060"/>
    <w:rsid w:val="00855C97"/>
    <w:rsid w:val="00866451"/>
    <w:rsid w:val="008A01F6"/>
    <w:rsid w:val="008B1442"/>
    <w:rsid w:val="008B4D7A"/>
    <w:rsid w:val="008B620E"/>
    <w:rsid w:val="008E50FA"/>
    <w:rsid w:val="008F0950"/>
    <w:rsid w:val="009050AD"/>
    <w:rsid w:val="00925370"/>
    <w:rsid w:val="009753EC"/>
    <w:rsid w:val="00991F40"/>
    <w:rsid w:val="009B0F8B"/>
    <w:rsid w:val="009E5859"/>
    <w:rsid w:val="009F0A49"/>
    <w:rsid w:val="00A02AF0"/>
    <w:rsid w:val="00A52719"/>
    <w:rsid w:val="00A97EDF"/>
    <w:rsid w:val="00AA2C5F"/>
    <w:rsid w:val="00AC0285"/>
    <w:rsid w:val="00AC1D84"/>
    <w:rsid w:val="00AC7B9E"/>
    <w:rsid w:val="00AE2D78"/>
    <w:rsid w:val="00B21BAC"/>
    <w:rsid w:val="00B46CE7"/>
    <w:rsid w:val="00B538D3"/>
    <w:rsid w:val="00B55121"/>
    <w:rsid w:val="00B61200"/>
    <w:rsid w:val="00B64198"/>
    <w:rsid w:val="00B70287"/>
    <w:rsid w:val="00B70A5D"/>
    <w:rsid w:val="00B813B4"/>
    <w:rsid w:val="00B902C8"/>
    <w:rsid w:val="00B94A95"/>
    <w:rsid w:val="00BB11EA"/>
    <w:rsid w:val="00BB1857"/>
    <w:rsid w:val="00BE2359"/>
    <w:rsid w:val="00BF01AC"/>
    <w:rsid w:val="00C0096E"/>
    <w:rsid w:val="00C1049E"/>
    <w:rsid w:val="00C108A0"/>
    <w:rsid w:val="00C23724"/>
    <w:rsid w:val="00C315D9"/>
    <w:rsid w:val="00C36499"/>
    <w:rsid w:val="00C37C96"/>
    <w:rsid w:val="00C65EE5"/>
    <w:rsid w:val="00C75B07"/>
    <w:rsid w:val="00C84127"/>
    <w:rsid w:val="00C92B7D"/>
    <w:rsid w:val="00C9661D"/>
    <w:rsid w:val="00C96B2C"/>
    <w:rsid w:val="00CD2E2A"/>
    <w:rsid w:val="00CF5053"/>
    <w:rsid w:val="00D22AC1"/>
    <w:rsid w:val="00D305A4"/>
    <w:rsid w:val="00D30821"/>
    <w:rsid w:val="00D6372B"/>
    <w:rsid w:val="00D67028"/>
    <w:rsid w:val="00D70E09"/>
    <w:rsid w:val="00D775A6"/>
    <w:rsid w:val="00D97C6A"/>
    <w:rsid w:val="00DA0CF6"/>
    <w:rsid w:val="00DA3386"/>
    <w:rsid w:val="00DA7ABF"/>
    <w:rsid w:val="00DB34BF"/>
    <w:rsid w:val="00E02E33"/>
    <w:rsid w:val="00E13EE4"/>
    <w:rsid w:val="00E210D8"/>
    <w:rsid w:val="00E2764E"/>
    <w:rsid w:val="00E5471C"/>
    <w:rsid w:val="00E63AFC"/>
    <w:rsid w:val="00E90B8E"/>
    <w:rsid w:val="00E92415"/>
    <w:rsid w:val="00EB62EF"/>
    <w:rsid w:val="00EC6B6E"/>
    <w:rsid w:val="00ED1686"/>
    <w:rsid w:val="00ED4DB8"/>
    <w:rsid w:val="00ED7637"/>
    <w:rsid w:val="00F17F03"/>
    <w:rsid w:val="00F553D2"/>
    <w:rsid w:val="00F572E0"/>
    <w:rsid w:val="00F577FE"/>
    <w:rsid w:val="00F61E5A"/>
    <w:rsid w:val="00F949F3"/>
    <w:rsid w:val="00FA275F"/>
    <w:rsid w:val="00FB7117"/>
    <w:rsid w:val="00FF2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DF"/>
    <w:rPr>
      <w:rFonts w:ascii="Times New Roman" w:eastAsia="Times New Roman" w:hAnsi="Times New Roman"/>
      <w:sz w:val="24"/>
      <w:szCs w:val="24"/>
      <w:lang w:val="en-US" w:eastAsia="en-US"/>
    </w:rPr>
  </w:style>
  <w:style w:type="paragraph" w:styleId="Heading1">
    <w:name w:val="heading 1"/>
    <w:aliases w:val="h1"/>
    <w:basedOn w:val="Normal"/>
    <w:next w:val="Normal"/>
    <w:link w:val="Heading1Char"/>
    <w:uiPriority w:val="99"/>
    <w:qFormat/>
    <w:rsid w:val="00752B25"/>
    <w:pPr>
      <w:keepNext/>
      <w:jc w:val="center"/>
      <w:outlineLvl w:val="0"/>
    </w:pPr>
    <w:rPr>
      <w:rFonts w:ascii="Arial" w:hAnsi="Arial"/>
      <w:b/>
      <w:bCs/>
      <w:lang w:val="el-GR" w:eastAsia="en-GB"/>
    </w:rPr>
  </w:style>
  <w:style w:type="paragraph" w:styleId="Heading3">
    <w:name w:val="heading 3"/>
    <w:basedOn w:val="Normal"/>
    <w:next w:val="Normal"/>
    <w:link w:val="Heading3Char"/>
    <w:unhideWhenUsed/>
    <w:qFormat/>
    <w:locked/>
    <w:rsid w:val="006C6A0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752B25"/>
    <w:rPr>
      <w:rFonts w:ascii="Arial" w:hAnsi="Arial"/>
      <w:b/>
      <w:sz w:val="24"/>
      <w:lang w:val="el-GR"/>
    </w:rPr>
  </w:style>
  <w:style w:type="paragraph" w:styleId="ListParagraph">
    <w:name w:val="List Paragraph"/>
    <w:basedOn w:val="Normal"/>
    <w:uiPriority w:val="34"/>
    <w:qFormat/>
    <w:rsid w:val="00752B25"/>
    <w:pPr>
      <w:spacing w:before="160" w:after="80"/>
      <w:ind w:left="720" w:hanging="216"/>
      <w:contextualSpacing/>
      <w:jc w:val="center"/>
    </w:pPr>
    <w:rPr>
      <w:rFonts w:ascii="Calibri" w:eastAsia="Calibri" w:hAnsi="Calibri"/>
      <w:sz w:val="22"/>
      <w:szCs w:val="22"/>
    </w:rPr>
  </w:style>
  <w:style w:type="character" w:customStyle="1" w:styleId="hps">
    <w:name w:val="hps"/>
    <w:uiPriority w:val="99"/>
    <w:rsid w:val="00752B25"/>
  </w:style>
  <w:style w:type="paragraph" w:styleId="CommentText">
    <w:name w:val="annotation text"/>
    <w:basedOn w:val="Normal"/>
    <w:link w:val="CommentTextChar"/>
    <w:uiPriority w:val="99"/>
    <w:semiHidden/>
    <w:unhideWhenUsed/>
    <w:rsid w:val="00C96B2C"/>
  </w:style>
  <w:style w:type="character" w:customStyle="1" w:styleId="CommentTextChar">
    <w:name w:val="Comment Text Char"/>
    <w:basedOn w:val="DefaultParagraphFont"/>
    <w:link w:val="CommentText"/>
    <w:uiPriority w:val="99"/>
    <w:semiHidden/>
    <w:rsid w:val="00C96B2C"/>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C96B2C"/>
    <w:rPr>
      <w:sz w:val="16"/>
      <w:szCs w:val="16"/>
    </w:rPr>
  </w:style>
  <w:style w:type="paragraph" w:styleId="BalloonText">
    <w:name w:val="Balloon Text"/>
    <w:basedOn w:val="Normal"/>
    <w:link w:val="BalloonTextChar"/>
    <w:uiPriority w:val="99"/>
    <w:semiHidden/>
    <w:unhideWhenUsed/>
    <w:rsid w:val="00C9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6B2C"/>
    <w:rPr>
      <w:rFonts w:ascii="Lucida Grande" w:eastAsia="Times New Roman" w:hAnsi="Lucida Grande" w:cs="Lucida Grande"/>
      <w:sz w:val="18"/>
      <w:szCs w:val="18"/>
      <w:lang w:val="en-US" w:eastAsia="en-US"/>
    </w:rPr>
  </w:style>
  <w:style w:type="character" w:styleId="Hyperlink">
    <w:name w:val="Hyperlink"/>
    <w:basedOn w:val="DefaultParagraphFont"/>
    <w:uiPriority w:val="99"/>
    <w:unhideWhenUsed/>
    <w:rsid w:val="0065110D"/>
    <w:rPr>
      <w:color w:val="0000FF" w:themeColor="hyperlink"/>
      <w:u w:val="single"/>
    </w:rPr>
  </w:style>
  <w:style w:type="paragraph" w:styleId="FootnoteText">
    <w:name w:val="footnote text"/>
    <w:basedOn w:val="Normal"/>
    <w:link w:val="FootnoteTextChar"/>
    <w:uiPriority w:val="99"/>
    <w:unhideWhenUsed/>
    <w:qFormat/>
    <w:rsid w:val="0065110D"/>
  </w:style>
  <w:style w:type="character" w:customStyle="1" w:styleId="FootnoteTextChar">
    <w:name w:val="Footnote Text Char"/>
    <w:basedOn w:val="DefaultParagraphFont"/>
    <w:link w:val="FootnoteText"/>
    <w:uiPriority w:val="99"/>
    <w:rsid w:val="0065110D"/>
    <w:rPr>
      <w:rFonts w:ascii="Times New Roman" w:eastAsia="Times New Roman" w:hAnsi="Times New Roman"/>
      <w:sz w:val="24"/>
      <w:szCs w:val="24"/>
      <w:lang w:val="en-US" w:eastAsia="en-US"/>
    </w:rPr>
  </w:style>
  <w:style w:type="character" w:customStyle="1" w:styleId="a">
    <w:name w:val="_"/>
    <w:basedOn w:val="DefaultParagraphFont"/>
    <w:rsid w:val="00E92415"/>
  </w:style>
  <w:style w:type="character" w:customStyle="1" w:styleId="UnresolvedMention">
    <w:name w:val="Unresolved Mention"/>
    <w:basedOn w:val="DefaultParagraphFont"/>
    <w:uiPriority w:val="99"/>
    <w:semiHidden/>
    <w:unhideWhenUsed/>
    <w:rsid w:val="006C0966"/>
    <w:rPr>
      <w:color w:val="808080"/>
      <w:shd w:val="clear" w:color="auto" w:fill="E6E6E6"/>
    </w:rPr>
  </w:style>
  <w:style w:type="character" w:customStyle="1" w:styleId="Heading3Char">
    <w:name w:val="Heading 3 Char"/>
    <w:basedOn w:val="DefaultParagraphFont"/>
    <w:link w:val="Heading3"/>
    <w:rsid w:val="006C6A05"/>
    <w:rPr>
      <w:rFonts w:asciiTheme="majorHAnsi" w:eastAsiaTheme="majorEastAsia" w:hAnsiTheme="majorHAnsi" w:cstheme="majorBidi"/>
      <w:color w:val="243F60" w:themeColor="accent1" w:themeShade="7F"/>
      <w:sz w:val="24"/>
      <w:szCs w:val="24"/>
      <w:lang w:val="en-US" w:eastAsia="en-US"/>
    </w:rPr>
  </w:style>
  <w:style w:type="character" w:styleId="Strong">
    <w:name w:val="Strong"/>
    <w:basedOn w:val="DefaultParagraphFont"/>
    <w:uiPriority w:val="22"/>
    <w:qFormat/>
    <w:locked/>
    <w:rsid w:val="00E210D8"/>
    <w:rPr>
      <w:b/>
      <w:bCs/>
    </w:rPr>
  </w:style>
  <w:style w:type="character" w:styleId="FollowedHyperlink">
    <w:name w:val="FollowedHyperlink"/>
    <w:basedOn w:val="DefaultParagraphFont"/>
    <w:uiPriority w:val="99"/>
    <w:unhideWhenUsed/>
    <w:rsid w:val="00A97E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585231">
      <w:bodyDiv w:val="1"/>
      <w:marLeft w:val="0"/>
      <w:marRight w:val="0"/>
      <w:marTop w:val="0"/>
      <w:marBottom w:val="0"/>
      <w:divBdr>
        <w:top w:val="none" w:sz="0" w:space="0" w:color="auto"/>
        <w:left w:val="none" w:sz="0" w:space="0" w:color="auto"/>
        <w:bottom w:val="none" w:sz="0" w:space="0" w:color="auto"/>
        <w:right w:val="none" w:sz="0" w:space="0" w:color="auto"/>
      </w:divBdr>
    </w:div>
    <w:div w:id="346638072">
      <w:bodyDiv w:val="1"/>
      <w:marLeft w:val="0"/>
      <w:marRight w:val="0"/>
      <w:marTop w:val="0"/>
      <w:marBottom w:val="0"/>
      <w:divBdr>
        <w:top w:val="none" w:sz="0" w:space="0" w:color="auto"/>
        <w:left w:val="none" w:sz="0" w:space="0" w:color="auto"/>
        <w:bottom w:val="none" w:sz="0" w:space="0" w:color="auto"/>
        <w:right w:val="none" w:sz="0" w:space="0" w:color="auto"/>
      </w:divBdr>
    </w:div>
    <w:div w:id="349449212">
      <w:bodyDiv w:val="1"/>
      <w:marLeft w:val="0"/>
      <w:marRight w:val="0"/>
      <w:marTop w:val="0"/>
      <w:marBottom w:val="0"/>
      <w:divBdr>
        <w:top w:val="none" w:sz="0" w:space="0" w:color="auto"/>
        <w:left w:val="none" w:sz="0" w:space="0" w:color="auto"/>
        <w:bottom w:val="none" w:sz="0" w:space="0" w:color="auto"/>
        <w:right w:val="none" w:sz="0" w:space="0" w:color="auto"/>
      </w:divBdr>
    </w:div>
    <w:div w:id="491874692">
      <w:bodyDiv w:val="1"/>
      <w:marLeft w:val="0"/>
      <w:marRight w:val="0"/>
      <w:marTop w:val="0"/>
      <w:marBottom w:val="0"/>
      <w:divBdr>
        <w:top w:val="none" w:sz="0" w:space="0" w:color="auto"/>
        <w:left w:val="none" w:sz="0" w:space="0" w:color="auto"/>
        <w:bottom w:val="none" w:sz="0" w:space="0" w:color="auto"/>
        <w:right w:val="none" w:sz="0" w:space="0" w:color="auto"/>
      </w:divBdr>
    </w:div>
    <w:div w:id="816578648">
      <w:bodyDiv w:val="1"/>
      <w:marLeft w:val="0"/>
      <w:marRight w:val="0"/>
      <w:marTop w:val="0"/>
      <w:marBottom w:val="0"/>
      <w:divBdr>
        <w:top w:val="none" w:sz="0" w:space="0" w:color="auto"/>
        <w:left w:val="none" w:sz="0" w:space="0" w:color="auto"/>
        <w:bottom w:val="none" w:sz="0" w:space="0" w:color="auto"/>
        <w:right w:val="none" w:sz="0" w:space="0" w:color="auto"/>
      </w:divBdr>
      <w:divsChild>
        <w:div w:id="449399210">
          <w:marLeft w:val="360"/>
          <w:marRight w:val="0"/>
          <w:marTop w:val="200"/>
          <w:marBottom w:val="0"/>
          <w:divBdr>
            <w:top w:val="none" w:sz="0" w:space="0" w:color="auto"/>
            <w:left w:val="none" w:sz="0" w:space="0" w:color="auto"/>
            <w:bottom w:val="none" w:sz="0" w:space="0" w:color="auto"/>
            <w:right w:val="none" w:sz="0" w:space="0" w:color="auto"/>
          </w:divBdr>
        </w:div>
        <w:div w:id="1045981417">
          <w:marLeft w:val="360"/>
          <w:marRight w:val="0"/>
          <w:marTop w:val="200"/>
          <w:marBottom w:val="0"/>
          <w:divBdr>
            <w:top w:val="none" w:sz="0" w:space="0" w:color="auto"/>
            <w:left w:val="none" w:sz="0" w:space="0" w:color="auto"/>
            <w:bottom w:val="none" w:sz="0" w:space="0" w:color="auto"/>
            <w:right w:val="none" w:sz="0" w:space="0" w:color="auto"/>
          </w:divBdr>
        </w:div>
        <w:div w:id="1880363191">
          <w:marLeft w:val="360"/>
          <w:marRight w:val="0"/>
          <w:marTop w:val="200"/>
          <w:marBottom w:val="0"/>
          <w:divBdr>
            <w:top w:val="none" w:sz="0" w:space="0" w:color="auto"/>
            <w:left w:val="none" w:sz="0" w:space="0" w:color="auto"/>
            <w:bottom w:val="none" w:sz="0" w:space="0" w:color="auto"/>
            <w:right w:val="none" w:sz="0" w:space="0" w:color="auto"/>
          </w:divBdr>
        </w:div>
        <w:div w:id="635372647">
          <w:marLeft w:val="1080"/>
          <w:marRight w:val="0"/>
          <w:marTop w:val="100"/>
          <w:marBottom w:val="0"/>
          <w:divBdr>
            <w:top w:val="none" w:sz="0" w:space="0" w:color="auto"/>
            <w:left w:val="none" w:sz="0" w:space="0" w:color="auto"/>
            <w:bottom w:val="none" w:sz="0" w:space="0" w:color="auto"/>
            <w:right w:val="none" w:sz="0" w:space="0" w:color="auto"/>
          </w:divBdr>
        </w:div>
        <w:div w:id="1027367660">
          <w:marLeft w:val="1080"/>
          <w:marRight w:val="0"/>
          <w:marTop w:val="100"/>
          <w:marBottom w:val="0"/>
          <w:divBdr>
            <w:top w:val="none" w:sz="0" w:space="0" w:color="auto"/>
            <w:left w:val="none" w:sz="0" w:space="0" w:color="auto"/>
            <w:bottom w:val="none" w:sz="0" w:space="0" w:color="auto"/>
            <w:right w:val="none" w:sz="0" w:space="0" w:color="auto"/>
          </w:divBdr>
        </w:div>
        <w:div w:id="121651115">
          <w:marLeft w:val="360"/>
          <w:marRight w:val="0"/>
          <w:marTop w:val="200"/>
          <w:marBottom w:val="0"/>
          <w:divBdr>
            <w:top w:val="none" w:sz="0" w:space="0" w:color="auto"/>
            <w:left w:val="none" w:sz="0" w:space="0" w:color="auto"/>
            <w:bottom w:val="none" w:sz="0" w:space="0" w:color="auto"/>
            <w:right w:val="none" w:sz="0" w:space="0" w:color="auto"/>
          </w:divBdr>
        </w:div>
        <w:div w:id="1074623360">
          <w:marLeft w:val="1080"/>
          <w:marRight w:val="0"/>
          <w:marTop w:val="100"/>
          <w:marBottom w:val="0"/>
          <w:divBdr>
            <w:top w:val="none" w:sz="0" w:space="0" w:color="auto"/>
            <w:left w:val="none" w:sz="0" w:space="0" w:color="auto"/>
            <w:bottom w:val="none" w:sz="0" w:space="0" w:color="auto"/>
            <w:right w:val="none" w:sz="0" w:space="0" w:color="auto"/>
          </w:divBdr>
        </w:div>
        <w:div w:id="1937248125">
          <w:marLeft w:val="1080"/>
          <w:marRight w:val="0"/>
          <w:marTop w:val="100"/>
          <w:marBottom w:val="0"/>
          <w:divBdr>
            <w:top w:val="none" w:sz="0" w:space="0" w:color="auto"/>
            <w:left w:val="none" w:sz="0" w:space="0" w:color="auto"/>
            <w:bottom w:val="none" w:sz="0" w:space="0" w:color="auto"/>
            <w:right w:val="none" w:sz="0" w:space="0" w:color="auto"/>
          </w:divBdr>
        </w:div>
        <w:div w:id="1149053799">
          <w:marLeft w:val="360"/>
          <w:marRight w:val="0"/>
          <w:marTop w:val="200"/>
          <w:marBottom w:val="0"/>
          <w:divBdr>
            <w:top w:val="none" w:sz="0" w:space="0" w:color="auto"/>
            <w:left w:val="none" w:sz="0" w:space="0" w:color="auto"/>
            <w:bottom w:val="none" w:sz="0" w:space="0" w:color="auto"/>
            <w:right w:val="none" w:sz="0" w:space="0" w:color="auto"/>
          </w:divBdr>
        </w:div>
      </w:divsChild>
    </w:div>
    <w:div w:id="1676565333">
      <w:bodyDiv w:val="1"/>
      <w:marLeft w:val="0"/>
      <w:marRight w:val="0"/>
      <w:marTop w:val="0"/>
      <w:marBottom w:val="0"/>
      <w:divBdr>
        <w:top w:val="none" w:sz="0" w:space="0" w:color="auto"/>
        <w:left w:val="none" w:sz="0" w:space="0" w:color="auto"/>
        <w:bottom w:val="none" w:sz="0" w:space="0" w:color="auto"/>
        <w:right w:val="none" w:sz="0" w:space="0" w:color="auto"/>
      </w:divBdr>
    </w:div>
    <w:div w:id="1774133538">
      <w:bodyDiv w:val="1"/>
      <w:marLeft w:val="0"/>
      <w:marRight w:val="0"/>
      <w:marTop w:val="0"/>
      <w:marBottom w:val="0"/>
      <w:divBdr>
        <w:top w:val="none" w:sz="0" w:space="0" w:color="auto"/>
        <w:left w:val="none" w:sz="0" w:space="0" w:color="auto"/>
        <w:bottom w:val="none" w:sz="0" w:space="0" w:color="auto"/>
        <w:right w:val="none" w:sz="0" w:space="0" w:color="auto"/>
      </w:divBdr>
    </w:div>
    <w:div w:id="19263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liste.jsf?language=en&amp;jur=C,T,F&amp;num=6-72&amp;td=ALL" TargetMode="External"/><Relationship Id="rId13" Type="http://schemas.openxmlformats.org/officeDocument/2006/relationships/hyperlink" Target="http://ec.europa.eu/competition/mergers/cases/decisions/m3686_20050330_20212_en.pdf" TargetMode="External"/><Relationship Id="rId3" Type="http://schemas.openxmlformats.org/officeDocument/2006/relationships/settings" Target="settings.xml"/><Relationship Id="rId7" Type="http://schemas.openxmlformats.org/officeDocument/2006/relationships/hyperlink" Target="http://eur-lex.europa.eu/legal-content/EN/TXT/?uri=CELEX%3A31992D0553" TargetMode="External"/><Relationship Id="rId12" Type="http://schemas.openxmlformats.org/officeDocument/2006/relationships/hyperlink" Target="http://eur-lex.europa.eu/legal-content/EN/TXT/?uri=CELEX%3A61994CJ03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ur-lex.europa.eu/legal-content/EL/TXT/PDF/?uri=CELEX:31997Y1209(01)&amp;from=EN" TargetMode="External"/><Relationship Id="rId11" Type="http://schemas.openxmlformats.org/officeDocument/2006/relationships/hyperlink" Target="http://eur-lex.europa.eu/legal-content/EN/TXT/?uri=CELEX%3A61981CJ0322" TargetMode="External"/><Relationship Id="rId5" Type="http://schemas.openxmlformats.org/officeDocument/2006/relationships/hyperlink" Target="https://www.nb.org/greek/i-politiki-antagonismoy-stin-kypro.html" TargetMode="External"/><Relationship Id="rId15" Type="http://schemas.openxmlformats.org/officeDocument/2006/relationships/fontTable" Target="fontTable.xml"/><Relationship Id="rId10" Type="http://schemas.openxmlformats.org/officeDocument/2006/relationships/hyperlink" Target="http://www.competition.gov.cy/competition/competition.nsf/All/87269003D3075E53C2257EA8003908A4?OpenDocument" TargetMode="External"/><Relationship Id="rId4" Type="http://schemas.openxmlformats.org/officeDocument/2006/relationships/webSettings" Target="webSettings.xml"/><Relationship Id="rId9" Type="http://schemas.openxmlformats.org/officeDocument/2006/relationships/hyperlink" Target="http://ec.europa.eu/competition/mergers/cases/decisions/m166_en.pdf" TargetMode="External"/><Relationship Id="rId14" Type="http://schemas.openxmlformats.org/officeDocument/2006/relationships/hyperlink" Target="https://supreme.justia.com/cases/federal/us/351/377/c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3220</Characters>
  <Application>Microsoft Office Word</Application>
  <DocSecurity>4</DocSecurity>
  <Lines>26</Lines>
  <Paragraphs>7</Paragraphs>
  <ScaleCrop>false</ScaleCrop>
  <HeadingPairs>
    <vt:vector size="6" baseType="variant">
      <vt:variant>
        <vt:lpstr>Title</vt:lpstr>
      </vt:variant>
      <vt:variant>
        <vt:i4>1</vt:i4>
      </vt:variant>
      <vt:variant>
        <vt:lpstr>Τίτλος</vt:lpstr>
      </vt:variant>
      <vt:variant>
        <vt:i4>1</vt:i4>
      </vt:variant>
      <vt:variant>
        <vt:lpstr>Titolo</vt:lpstr>
      </vt:variant>
      <vt:variant>
        <vt:i4>1</vt:i4>
      </vt:variant>
    </vt:vector>
  </HeadingPairs>
  <TitlesOfParts>
    <vt:vector size="3" baseType="lpstr">
      <vt:lpstr>Course title</vt:lpstr>
      <vt:lpstr>Course title</vt:lpstr>
      <vt:lpstr>Course title</vt:lpstr>
    </vt:vector>
  </TitlesOfParts>
  <Company>European University Cyprus</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S. P. Nath</dc:creator>
  <cp:lastModifiedBy>Edoardo Minerva</cp:lastModifiedBy>
  <cp:revision>2</cp:revision>
  <cp:lastPrinted>2017-10-18T03:52:00Z</cp:lastPrinted>
  <dcterms:created xsi:type="dcterms:W3CDTF">2017-10-18T08:21:00Z</dcterms:created>
  <dcterms:modified xsi:type="dcterms:W3CDTF">2017-10-18T08:21:00Z</dcterms:modified>
</cp:coreProperties>
</file>