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86" w:rsidRPr="00F61FBB" w:rsidRDefault="00ED1686" w:rsidP="00ED1686">
      <w:pPr>
        <w:rPr>
          <w:rFonts w:ascii="Arial" w:hAnsi="Arial" w:cs="Arial"/>
        </w:rPr>
      </w:pPr>
    </w:p>
    <w:tbl>
      <w:tblPr>
        <w:tblpPr w:leftFromText="180" w:rightFromText="180" w:vertAnchor="page" w:horzAnchor="margin" w:tblpXSpec="center" w:tblpY="1426"/>
        <w:tblW w:w="9926" w:type="dxa"/>
        <w:tblLayout w:type="fixed"/>
        <w:tblLook w:val="01E0"/>
      </w:tblPr>
      <w:tblGrid>
        <w:gridCol w:w="2835"/>
        <w:gridCol w:w="6793"/>
        <w:gridCol w:w="298"/>
      </w:tblGrid>
      <w:tr w:rsidR="00ED1686" w:rsidRPr="00F61FBB"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F61FBB" w:rsidRDefault="00ED1686" w:rsidP="00ED1686">
            <w:pPr>
              <w:rPr>
                <w:rFonts w:ascii="Arial" w:hAnsi="Arial" w:cs="Arial"/>
                <w:b/>
                <w:lang w:val="en-GB"/>
              </w:rPr>
            </w:pPr>
            <w:r w:rsidRPr="00F61FBB">
              <w:rPr>
                <w:rFonts w:ascii="Arial" w:hAnsi="Arial" w:cs="Arial"/>
                <w:b/>
                <w:lang w:val="en-GB"/>
              </w:rPr>
              <w:t>Module title</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232B39" w:rsidRDefault="00814E55" w:rsidP="00814E55">
            <w:pPr>
              <w:pStyle w:val="Heading1"/>
              <w:jc w:val="both"/>
              <w:rPr>
                <w:rFonts w:cs="Arial"/>
                <w:b w:val="0"/>
                <w:i/>
                <w:sz w:val="22"/>
                <w:lang w:val="en-US" w:eastAsia="en-US"/>
              </w:rPr>
            </w:pPr>
            <w:r w:rsidRPr="00232B39">
              <w:rPr>
                <w:rFonts w:cs="Arial"/>
                <w:b w:val="0"/>
                <w:i/>
                <w:sz w:val="22"/>
                <w:lang w:val="en-US"/>
              </w:rPr>
              <w:t>“Legal assessment of competition law violations in light of economic analysis”</w:t>
            </w:r>
          </w:p>
        </w:tc>
      </w:tr>
      <w:tr w:rsidR="00ED1686" w:rsidRPr="00F61FBB"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F61FBB" w:rsidRDefault="00ED1686" w:rsidP="006E11EB">
            <w:pPr>
              <w:rPr>
                <w:rFonts w:ascii="Arial" w:hAnsi="Arial" w:cs="Arial"/>
                <w:b/>
                <w:lang w:val="en-GB"/>
              </w:rPr>
            </w:pPr>
            <w:r w:rsidRPr="00F61FBB">
              <w:rPr>
                <w:rFonts w:ascii="Arial" w:hAnsi="Arial" w:cs="Arial"/>
                <w:b/>
                <w:lang w:val="en-GB"/>
              </w:rPr>
              <w:t>Dates</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232B39" w:rsidRDefault="00DB0570" w:rsidP="00ED1686">
            <w:pPr>
              <w:rPr>
                <w:rFonts w:ascii="Arial" w:hAnsi="Arial" w:cs="Arial"/>
                <w:sz w:val="22"/>
              </w:rPr>
            </w:pPr>
            <w:r w:rsidRPr="00232B39">
              <w:rPr>
                <w:rFonts w:ascii="Arial" w:hAnsi="Arial" w:cs="Arial"/>
                <w:sz w:val="22"/>
                <w:lang w:val="el-GR"/>
              </w:rPr>
              <w:t>2</w:t>
            </w:r>
            <w:r w:rsidRPr="00232B39">
              <w:rPr>
                <w:rFonts w:ascii="Arial" w:hAnsi="Arial" w:cs="Arial"/>
                <w:sz w:val="22"/>
              </w:rPr>
              <w:t>6 October</w:t>
            </w:r>
            <w:r w:rsidR="00814E55" w:rsidRPr="00232B39">
              <w:rPr>
                <w:rFonts w:ascii="Arial" w:hAnsi="Arial" w:cs="Arial"/>
                <w:sz w:val="22"/>
              </w:rPr>
              <w:t xml:space="preserve"> 2017</w:t>
            </w:r>
          </w:p>
        </w:tc>
      </w:tr>
      <w:tr w:rsidR="00ED1686" w:rsidRPr="00F61FBB"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F61FBB" w:rsidRDefault="00ED1686" w:rsidP="00ED1686">
            <w:pPr>
              <w:rPr>
                <w:rFonts w:ascii="Arial" w:hAnsi="Arial" w:cs="Arial"/>
                <w:b/>
                <w:lang w:val="en-GB"/>
              </w:rPr>
            </w:pPr>
            <w:r w:rsidRPr="00F61FBB">
              <w:rPr>
                <w:rFonts w:ascii="Arial" w:hAnsi="Arial" w:cs="Arial"/>
                <w:b/>
                <w:lang w:val="en-GB"/>
              </w:rPr>
              <w:t>Instructor</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814E55" w:rsidRPr="00232B39" w:rsidRDefault="00814E55" w:rsidP="00814E55">
            <w:pPr>
              <w:shd w:val="clear" w:color="auto" w:fill="FFFFFF"/>
              <w:spacing w:line="0" w:lineRule="auto"/>
              <w:rPr>
                <w:rFonts w:ascii="Arial" w:hAnsi="Arial" w:cs="Arial"/>
                <w:color w:val="000000"/>
                <w:sz w:val="22"/>
                <w:lang w:eastAsia="el-GR"/>
              </w:rPr>
            </w:pPr>
            <w:r w:rsidRPr="00232B39">
              <w:rPr>
                <w:rFonts w:ascii="Arial" w:hAnsi="Arial" w:cs="Arial"/>
                <w:color w:val="000000"/>
                <w:sz w:val="22"/>
                <w:lang w:eastAsia="el-GR"/>
              </w:rPr>
              <w:t xml:space="preserve">Dr. Lazaros Grigoriadis, Lecturer, Faculty of Law of </w:t>
            </w:r>
            <w:proofErr w:type="spellStart"/>
            <w:r w:rsidRPr="00232B39">
              <w:rPr>
                <w:rFonts w:ascii="Arial" w:hAnsi="Arial" w:cs="Arial"/>
                <w:color w:val="000000"/>
                <w:sz w:val="22"/>
                <w:lang w:eastAsia="el-GR"/>
              </w:rPr>
              <w:t>Neapolis</w:t>
            </w:r>
            <w:proofErr w:type="spellEnd"/>
          </w:p>
          <w:p w:rsidR="00814E55" w:rsidRPr="00232B39" w:rsidRDefault="00814E55" w:rsidP="00814E55">
            <w:pPr>
              <w:shd w:val="clear" w:color="auto" w:fill="FFFFFF"/>
              <w:spacing w:line="0" w:lineRule="auto"/>
              <w:rPr>
                <w:rFonts w:ascii="Arial" w:hAnsi="Arial" w:cs="Arial"/>
                <w:color w:val="000000"/>
                <w:sz w:val="22"/>
                <w:lang w:eastAsia="el-GR"/>
              </w:rPr>
            </w:pPr>
            <w:r w:rsidRPr="00232B39">
              <w:rPr>
                <w:rFonts w:ascii="Arial" w:hAnsi="Arial" w:cs="Arial"/>
                <w:color w:val="000000"/>
                <w:sz w:val="22"/>
                <w:lang w:eastAsia="el-GR"/>
              </w:rPr>
              <w:t xml:space="preserve">University of </w:t>
            </w:r>
            <w:proofErr w:type="spellStart"/>
            <w:r w:rsidRPr="00232B39">
              <w:rPr>
                <w:rFonts w:ascii="Arial" w:hAnsi="Arial" w:cs="Arial"/>
                <w:color w:val="000000"/>
                <w:sz w:val="22"/>
                <w:lang w:eastAsia="el-GR"/>
              </w:rPr>
              <w:t>Pafos</w:t>
            </w:r>
            <w:proofErr w:type="spellEnd"/>
            <w:r w:rsidRPr="00232B39">
              <w:rPr>
                <w:rFonts w:ascii="Arial" w:hAnsi="Arial" w:cs="Arial"/>
                <w:color w:val="000000"/>
                <w:sz w:val="22"/>
                <w:lang w:eastAsia="el-GR"/>
              </w:rPr>
              <w:t>, Cyprus</w:t>
            </w:r>
          </w:p>
          <w:p w:rsidR="00ED1686" w:rsidRPr="00232B39" w:rsidRDefault="00814E55" w:rsidP="00ED1686">
            <w:pPr>
              <w:rPr>
                <w:rFonts w:ascii="Arial" w:hAnsi="Arial" w:cs="Arial"/>
                <w:sz w:val="22"/>
              </w:rPr>
            </w:pPr>
            <w:r w:rsidRPr="00232B39">
              <w:rPr>
                <w:rFonts w:ascii="Arial" w:hAnsi="Arial" w:cs="Arial"/>
                <w:sz w:val="22"/>
              </w:rPr>
              <w:t xml:space="preserve">Dr. Lazaros G. Grigoriadis, Lecturer, Faculty of Law of </w:t>
            </w:r>
            <w:proofErr w:type="spellStart"/>
            <w:r w:rsidRPr="00232B39">
              <w:rPr>
                <w:rFonts w:ascii="Arial" w:hAnsi="Arial" w:cs="Arial"/>
                <w:sz w:val="22"/>
              </w:rPr>
              <w:t>Neapolis</w:t>
            </w:r>
            <w:proofErr w:type="spellEnd"/>
            <w:r w:rsidRPr="00232B39">
              <w:rPr>
                <w:rFonts w:ascii="Arial" w:hAnsi="Arial" w:cs="Arial"/>
                <w:sz w:val="22"/>
              </w:rPr>
              <w:t xml:space="preserve"> University </w:t>
            </w:r>
            <w:proofErr w:type="spellStart"/>
            <w:r w:rsidRPr="00232B39">
              <w:rPr>
                <w:rFonts w:ascii="Arial" w:hAnsi="Arial" w:cs="Arial"/>
                <w:sz w:val="22"/>
              </w:rPr>
              <w:t>Pafos</w:t>
            </w:r>
            <w:proofErr w:type="spellEnd"/>
            <w:r w:rsidRPr="00232B39">
              <w:rPr>
                <w:rFonts w:ascii="Arial" w:hAnsi="Arial" w:cs="Arial"/>
                <w:sz w:val="22"/>
              </w:rPr>
              <w:t>, Cyprus</w:t>
            </w:r>
          </w:p>
        </w:tc>
      </w:tr>
      <w:tr w:rsidR="00ED1686" w:rsidRPr="00F61FBB" w:rsidTr="00ED1686">
        <w:trPr>
          <w:trHeight w:val="567"/>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Pr="00F61FBB" w:rsidRDefault="00ED1686" w:rsidP="00ED1686">
            <w:pPr>
              <w:rPr>
                <w:rFonts w:ascii="Arial" w:hAnsi="Arial" w:cs="Arial"/>
                <w:lang w:val="en-GB"/>
              </w:rPr>
            </w:pPr>
            <w:r w:rsidRPr="00F61FBB">
              <w:rPr>
                <w:rFonts w:ascii="Arial" w:hAnsi="Arial" w:cs="Arial"/>
                <w:b/>
                <w:lang w:val="en-GB"/>
              </w:rPr>
              <w:t>Module description</w:t>
            </w:r>
            <w:bookmarkStart w:id="0" w:name="_GoBack"/>
            <w:bookmarkEnd w:id="0"/>
          </w:p>
        </w:tc>
      </w:tr>
      <w:tr w:rsidR="00ED1686" w:rsidRPr="00F61FBB" w:rsidTr="00ED1686">
        <w:trPr>
          <w:trHeight w:val="170"/>
        </w:trPr>
        <w:tc>
          <w:tcPr>
            <w:tcW w:w="9926" w:type="dxa"/>
            <w:gridSpan w:val="3"/>
            <w:tcBorders>
              <w:top w:val="single" w:sz="4" w:space="0" w:color="auto"/>
              <w:left w:val="single" w:sz="4" w:space="0" w:color="auto"/>
              <w:bottom w:val="single" w:sz="4" w:space="0" w:color="auto"/>
              <w:right w:val="single" w:sz="4" w:space="0" w:color="auto"/>
            </w:tcBorders>
            <w:vAlign w:val="center"/>
          </w:tcPr>
          <w:p w:rsidR="005237D1" w:rsidRPr="00232B39" w:rsidRDefault="00814E55" w:rsidP="006E60D0">
            <w:pPr>
              <w:spacing w:before="120" w:after="120"/>
              <w:jc w:val="both"/>
              <w:rPr>
                <w:rFonts w:ascii="Arial" w:hAnsi="Arial" w:cs="Arial"/>
                <w:sz w:val="22"/>
                <w:lang w:val="en-GB"/>
              </w:rPr>
            </w:pPr>
            <w:r w:rsidRPr="00232B39">
              <w:rPr>
                <w:rFonts w:ascii="Arial" w:hAnsi="Arial" w:cs="Arial"/>
                <w:sz w:val="22"/>
                <w:lang w:val="en-GB"/>
              </w:rPr>
              <w:t xml:space="preserve">The module </w:t>
            </w:r>
            <w:r w:rsidR="0021735D" w:rsidRPr="00232B39">
              <w:rPr>
                <w:rFonts w:ascii="Arial" w:hAnsi="Arial" w:cs="Arial"/>
                <w:sz w:val="22"/>
                <w:lang w:val="en-GB"/>
              </w:rPr>
              <w:t>focuses on the use of economic theory to assess undertakings’ behaviours under Articles 101 &amp; 102 TFEU and Regulation (EC) 139/2004. In particular, it analyses the principles</w:t>
            </w:r>
            <w:r w:rsidR="007B4922" w:rsidRPr="00232B39">
              <w:rPr>
                <w:rFonts w:ascii="Arial" w:hAnsi="Arial" w:cs="Arial"/>
                <w:sz w:val="22"/>
                <w:lang w:val="en-GB"/>
              </w:rPr>
              <w:t xml:space="preserve"> ofeconomic science </w:t>
            </w:r>
            <w:r w:rsidR="0021735D" w:rsidRPr="00232B39">
              <w:rPr>
                <w:rFonts w:ascii="Arial" w:hAnsi="Arial" w:cs="Arial"/>
                <w:sz w:val="22"/>
                <w:lang w:val="en-GB"/>
              </w:rPr>
              <w:t xml:space="preserve">used by the Court of Justice of the European Union to answer of whether cooperation between undertakings constitutes a violation of Article 101 TFEU by object or by effect. Further, it examines the economic principles </w:t>
            </w:r>
            <w:r w:rsidR="006E60D0" w:rsidRPr="00232B39">
              <w:rPr>
                <w:rFonts w:ascii="Arial" w:hAnsi="Arial" w:cs="Arial"/>
                <w:sz w:val="22"/>
                <w:lang w:val="en-GB"/>
              </w:rPr>
              <w:t>employed by</w:t>
            </w:r>
            <w:r w:rsidR="0021735D" w:rsidRPr="00232B39">
              <w:rPr>
                <w:rFonts w:ascii="Arial" w:hAnsi="Arial" w:cs="Arial"/>
                <w:sz w:val="22"/>
                <w:lang w:val="en-GB"/>
              </w:rPr>
              <w:t xml:space="preserve"> the Court of Justice of the European Union</w:t>
            </w:r>
            <w:r w:rsidR="006E60D0" w:rsidRPr="00232B39">
              <w:rPr>
                <w:rFonts w:ascii="Arial" w:hAnsi="Arial" w:cs="Arial"/>
                <w:sz w:val="22"/>
                <w:lang w:val="en-GB"/>
              </w:rPr>
              <w:t xml:space="preserve"> when the question is whether the conditions for Article 102 TFEU to apply are fulfilled. Finally, it examines the economic methods used by the European Commission in merger analysis under Regulation (EC) 139/2004.     </w:t>
            </w:r>
          </w:p>
        </w:tc>
      </w:tr>
      <w:tr w:rsidR="00ED1686" w:rsidRPr="00F61FBB" w:rsidTr="00ED1686">
        <w:trPr>
          <w:trHeight w:val="567"/>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Pr="00F61FBB" w:rsidRDefault="00ED1686" w:rsidP="00ED1686">
            <w:pPr>
              <w:rPr>
                <w:rFonts w:ascii="Arial" w:hAnsi="Arial" w:cs="Arial"/>
              </w:rPr>
            </w:pPr>
            <w:r w:rsidRPr="00F61FBB">
              <w:rPr>
                <w:rFonts w:ascii="Arial" w:hAnsi="Arial" w:cs="Arial"/>
                <w:b/>
                <w:lang w:val="en-GB"/>
              </w:rPr>
              <w:t>Training outcomes</w:t>
            </w:r>
          </w:p>
        </w:tc>
      </w:tr>
      <w:tr w:rsidR="00ED1686" w:rsidRPr="00F61FBB" w:rsidTr="002D403D">
        <w:trPr>
          <w:trHeight w:val="95"/>
        </w:trPr>
        <w:tc>
          <w:tcPr>
            <w:tcW w:w="9926" w:type="dxa"/>
            <w:gridSpan w:val="3"/>
            <w:tcBorders>
              <w:top w:val="single" w:sz="4" w:space="0" w:color="auto"/>
              <w:left w:val="single" w:sz="4" w:space="0" w:color="auto"/>
              <w:bottom w:val="single" w:sz="4" w:space="0" w:color="auto"/>
              <w:right w:val="single" w:sz="4" w:space="0" w:color="auto"/>
            </w:tcBorders>
            <w:vAlign w:val="center"/>
          </w:tcPr>
          <w:p w:rsidR="005237D1" w:rsidRPr="00232B39" w:rsidRDefault="00776655" w:rsidP="00ED1686">
            <w:pPr>
              <w:spacing w:before="120" w:after="120"/>
              <w:jc w:val="both"/>
              <w:rPr>
                <w:rFonts w:ascii="Arial" w:hAnsi="Arial" w:cs="Arial"/>
                <w:noProof/>
                <w:sz w:val="22"/>
              </w:rPr>
            </w:pPr>
            <w:r w:rsidRPr="00232B39">
              <w:rPr>
                <w:rFonts w:ascii="Arial" w:hAnsi="Arial" w:cs="Arial"/>
                <w:noProof/>
                <w:sz w:val="22"/>
              </w:rPr>
              <w:t xml:space="preserve">The module aimed at </w:t>
            </w:r>
            <w:r w:rsidR="000E2A08" w:rsidRPr="00232B39">
              <w:rPr>
                <w:rFonts w:ascii="Arial" w:hAnsi="Arial" w:cs="Arial"/>
                <w:noProof/>
                <w:sz w:val="22"/>
              </w:rPr>
              <w:t>showing</w:t>
            </w:r>
            <w:r w:rsidR="007B4922" w:rsidRPr="00232B39">
              <w:rPr>
                <w:rFonts w:ascii="Arial" w:hAnsi="Arial" w:cs="Arial"/>
                <w:noProof/>
                <w:sz w:val="22"/>
              </w:rPr>
              <w:t xml:space="preserve"> how </w:t>
            </w:r>
            <w:r w:rsidR="000E2A08" w:rsidRPr="00232B39">
              <w:rPr>
                <w:rFonts w:ascii="Arial" w:hAnsi="Arial" w:cs="Arial"/>
                <w:noProof/>
                <w:sz w:val="22"/>
              </w:rPr>
              <w:t xml:space="preserve">economic theory influences application of main EU competition law provisions, namely  Articles 101 </w:t>
            </w:r>
            <w:r w:rsidR="000E2A08" w:rsidRPr="00232B39">
              <w:rPr>
                <w:rFonts w:ascii="Arial" w:hAnsi="Arial" w:cs="Arial"/>
                <w:sz w:val="22"/>
                <w:lang w:val="en-GB"/>
              </w:rPr>
              <w:t>&amp; 102 TFEU and Regulation (EC) 139/2004. Participants familiarized themselves with principles of economic science</w:t>
            </w:r>
            <w:r w:rsidR="000E2A08" w:rsidRPr="00232B39">
              <w:rPr>
                <w:rFonts w:ascii="Arial" w:hAnsi="Arial" w:cs="Arial"/>
                <w:noProof/>
                <w:sz w:val="22"/>
              </w:rPr>
              <w:t xml:space="preserve"> employed by the </w:t>
            </w:r>
            <w:r w:rsidR="007B4922" w:rsidRPr="00232B39">
              <w:rPr>
                <w:rFonts w:ascii="Arial" w:hAnsi="Arial" w:cs="Arial"/>
                <w:noProof/>
                <w:sz w:val="22"/>
              </w:rPr>
              <w:t xml:space="preserve">Court of </w:t>
            </w:r>
            <w:r w:rsidR="007B4922" w:rsidRPr="00232B39">
              <w:rPr>
                <w:rFonts w:ascii="Arial" w:hAnsi="Arial" w:cs="Arial"/>
                <w:sz w:val="22"/>
                <w:lang w:val="en-GB"/>
              </w:rPr>
              <w:t>Justice of the European Union</w:t>
            </w:r>
            <w:r w:rsidR="007B4922" w:rsidRPr="00232B39">
              <w:rPr>
                <w:rFonts w:ascii="Arial" w:hAnsi="Arial" w:cs="Arial"/>
                <w:noProof/>
                <w:sz w:val="22"/>
              </w:rPr>
              <w:t xml:space="preserve"> in application of Articles 101 </w:t>
            </w:r>
            <w:r w:rsidR="007B4922" w:rsidRPr="00232B39">
              <w:rPr>
                <w:rFonts w:ascii="Arial" w:hAnsi="Arial" w:cs="Arial"/>
                <w:sz w:val="22"/>
                <w:lang w:val="en-GB"/>
              </w:rPr>
              <w:t>&amp; 102 TFEU</w:t>
            </w:r>
            <w:r w:rsidR="00065611" w:rsidRPr="00232B39">
              <w:rPr>
                <w:rFonts w:ascii="Arial" w:hAnsi="Arial" w:cs="Arial"/>
                <w:sz w:val="22"/>
                <w:lang w:val="en-GB"/>
              </w:rPr>
              <w:t xml:space="preserve">. Also, the module offered a presentation of the main economic tools used by the European Commission to assess the compatibility of mergers with </w:t>
            </w:r>
            <w:r w:rsidR="007B4922" w:rsidRPr="00232B39">
              <w:rPr>
                <w:rFonts w:ascii="Arial" w:hAnsi="Arial" w:cs="Arial"/>
                <w:sz w:val="22"/>
                <w:lang w:val="en-GB"/>
              </w:rPr>
              <w:t>Regulation (EC) 139/2004.</w:t>
            </w:r>
            <w:r w:rsidRPr="00232B39">
              <w:rPr>
                <w:rFonts w:ascii="Arial" w:hAnsi="Arial" w:cs="Arial"/>
                <w:sz w:val="22"/>
              </w:rPr>
              <w:t xml:space="preserve">The analysis was supported by many examples drawn from the case law </w:t>
            </w:r>
            <w:r w:rsidRPr="00232B39">
              <w:rPr>
                <w:rFonts w:ascii="Arial" w:hAnsi="Arial" w:cs="Arial"/>
                <w:noProof/>
                <w:sz w:val="22"/>
              </w:rPr>
              <w:t xml:space="preserve">developed by the EU courts </w:t>
            </w:r>
            <w:r w:rsidR="00065611" w:rsidRPr="00232B39">
              <w:rPr>
                <w:rFonts w:ascii="Arial" w:hAnsi="Arial" w:cs="Arial"/>
                <w:noProof/>
                <w:sz w:val="22"/>
              </w:rPr>
              <w:t>and decisions issued by the European Commission</w:t>
            </w:r>
            <w:r w:rsidRPr="00232B39">
              <w:rPr>
                <w:rFonts w:ascii="Arial" w:hAnsi="Arial" w:cs="Arial"/>
                <w:noProof/>
                <w:sz w:val="22"/>
              </w:rPr>
              <w:t>.</w:t>
            </w:r>
          </w:p>
        </w:tc>
      </w:tr>
      <w:tr w:rsidR="00ED1686" w:rsidRPr="00232B39" w:rsidTr="00ED1686">
        <w:trPr>
          <w:trHeight w:val="55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F61FBB" w:rsidRDefault="00ED1686" w:rsidP="00ED1686">
            <w:pPr>
              <w:rPr>
                <w:rFonts w:ascii="Arial" w:hAnsi="Arial" w:cs="Arial"/>
                <w:b/>
                <w:lang w:val="en-GB"/>
              </w:rPr>
            </w:pPr>
          </w:p>
          <w:p w:rsidR="00ED1686" w:rsidRPr="00F61FBB" w:rsidRDefault="00ED1686" w:rsidP="00ED1686">
            <w:pPr>
              <w:rPr>
                <w:rFonts w:ascii="Arial" w:hAnsi="Arial" w:cs="Arial"/>
                <w:b/>
                <w:lang w:val="en-GB"/>
              </w:rPr>
            </w:pPr>
          </w:p>
          <w:p w:rsidR="00ED1686" w:rsidRPr="00F61FBB" w:rsidRDefault="00ED1686" w:rsidP="00ED1686">
            <w:pPr>
              <w:rPr>
                <w:rFonts w:ascii="Arial" w:hAnsi="Arial" w:cs="Arial"/>
                <w:b/>
                <w:lang w:val="en-GB"/>
              </w:rPr>
            </w:pPr>
          </w:p>
          <w:p w:rsidR="00ED1686" w:rsidRPr="00F61FBB" w:rsidRDefault="00ED1686" w:rsidP="00ED1686">
            <w:pPr>
              <w:rPr>
                <w:rFonts w:ascii="Arial" w:hAnsi="Arial" w:cs="Arial"/>
                <w:b/>
                <w:lang w:val="en-GB"/>
              </w:rPr>
            </w:pPr>
            <w:r w:rsidRPr="00F61FBB">
              <w:rPr>
                <w:rFonts w:ascii="Arial" w:hAnsi="Arial" w:cs="Arial"/>
                <w:b/>
                <w:lang w:val="en-GB"/>
              </w:rPr>
              <w:t>Training materials/bibliography</w:t>
            </w:r>
          </w:p>
          <w:p w:rsidR="00ED1686" w:rsidRPr="00F61FBB" w:rsidRDefault="00ED1686" w:rsidP="00ED1686">
            <w:pPr>
              <w:rPr>
                <w:rFonts w:ascii="Arial" w:hAnsi="Arial" w:cs="Arial"/>
                <w:b/>
              </w:rPr>
            </w:pPr>
          </w:p>
          <w:p w:rsidR="00ED1686" w:rsidRPr="00F61FBB" w:rsidRDefault="00ED1686" w:rsidP="00ED1686">
            <w:pPr>
              <w:rPr>
                <w:rFonts w:ascii="Arial" w:hAnsi="Arial" w:cs="Arial"/>
                <w:b/>
              </w:rPr>
            </w:pP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92415" w:rsidRPr="00232B39" w:rsidRDefault="00E92415" w:rsidP="00E92415">
            <w:pPr>
              <w:shd w:val="clear" w:color="auto" w:fill="FFFFFF"/>
              <w:spacing w:line="0" w:lineRule="auto"/>
              <w:rPr>
                <w:rFonts w:ascii="Arial" w:hAnsi="Arial" w:cs="Arial"/>
                <w:color w:val="000000"/>
                <w:sz w:val="22"/>
                <w:szCs w:val="22"/>
                <w:lang w:val="fr-FR" w:eastAsia="el-GR"/>
              </w:rPr>
            </w:pPr>
            <w:r w:rsidRPr="00232B39">
              <w:rPr>
                <w:rFonts w:ascii="Arial" w:hAnsi="Arial" w:cs="Arial"/>
                <w:color w:val="000000"/>
                <w:sz w:val="22"/>
                <w:szCs w:val="22"/>
                <w:lang w:val="fr-FR" w:eastAsia="el-GR"/>
              </w:rPr>
              <w:t xml:space="preserve">1)   Alison   Jones/Brenda   Surfin,   EU   </w:t>
            </w:r>
            <w:proofErr w:type="spellStart"/>
            <w:r w:rsidRPr="00232B39">
              <w:rPr>
                <w:rFonts w:ascii="Arial" w:hAnsi="Arial" w:cs="Arial"/>
                <w:color w:val="000000"/>
                <w:sz w:val="22"/>
                <w:szCs w:val="22"/>
                <w:lang w:val="fr-FR" w:eastAsia="el-GR"/>
              </w:rPr>
              <w:t>Competition</w:t>
            </w:r>
            <w:proofErr w:type="spellEnd"/>
            <w:r w:rsidRPr="00232B39">
              <w:rPr>
                <w:rFonts w:ascii="Arial" w:hAnsi="Arial" w:cs="Arial"/>
                <w:color w:val="000000"/>
                <w:sz w:val="22"/>
                <w:szCs w:val="22"/>
                <w:lang w:val="fr-FR" w:eastAsia="el-GR"/>
              </w:rPr>
              <w:t xml:space="preserve">   Law:   </w:t>
            </w:r>
            <w:proofErr w:type="spellStart"/>
            <w:r w:rsidRPr="00232B39">
              <w:rPr>
                <w:rFonts w:ascii="Arial" w:hAnsi="Arial" w:cs="Arial"/>
                <w:color w:val="000000"/>
                <w:sz w:val="22"/>
                <w:szCs w:val="22"/>
                <w:lang w:val="fr-FR" w:eastAsia="el-GR"/>
              </w:rPr>
              <w:t>Text</w:t>
            </w:r>
            <w:proofErr w:type="spellEnd"/>
            <w:r w:rsidRPr="00232B39">
              <w:rPr>
                <w:rFonts w:ascii="Arial" w:hAnsi="Arial" w:cs="Arial"/>
                <w:color w:val="000000"/>
                <w:sz w:val="22"/>
                <w:szCs w:val="22"/>
                <w:lang w:val="fr-FR" w:eastAsia="el-GR"/>
              </w:rPr>
              <w:t>,</w:t>
            </w:r>
          </w:p>
          <w:p w:rsidR="00E92415" w:rsidRPr="00232B39" w:rsidRDefault="00E92415" w:rsidP="00E92415">
            <w:pPr>
              <w:shd w:val="clear" w:color="auto" w:fill="FFFFFF"/>
              <w:spacing w:line="0" w:lineRule="auto"/>
              <w:rPr>
                <w:rFonts w:ascii="Arial" w:hAnsi="Arial" w:cs="Arial"/>
                <w:color w:val="000000"/>
                <w:sz w:val="22"/>
                <w:szCs w:val="22"/>
                <w:lang w:eastAsia="el-GR"/>
              </w:rPr>
            </w:pPr>
            <w:r w:rsidRPr="00232B39">
              <w:rPr>
                <w:rFonts w:ascii="Arial" w:hAnsi="Arial" w:cs="Arial"/>
                <w:color w:val="000000"/>
                <w:sz w:val="22"/>
                <w:szCs w:val="22"/>
                <w:lang w:eastAsia="el-GR"/>
              </w:rPr>
              <w:t>Cases, and Materials, fifth edition, Oxford University Press, 2014</w:t>
            </w:r>
          </w:p>
          <w:p w:rsidR="00E92415" w:rsidRPr="00232B39" w:rsidRDefault="00E92415" w:rsidP="00E92415">
            <w:pPr>
              <w:shd w:val="clear" w:color="auto" w:fill="FFFFFF"/>
              <w:spacing w:line="0" w:lineRule="auto"/>
              <w:rPr>
                <w:rFonts w:ascii="Arial" w:hAnsi="Arial" w:cs="Arial"/>
                <w:color w:val="000000"/>
                <w:sz w:val="22"/>
                <w:szCs w:val="22"/>
                <w:lang w:eastAsia="el-GR"/>
              </w:rPr>
            </w:pPr>
            <w:r w:rsidRPr="00232B39">
              <w:rPr>
                <w:rFonts w:ascii="Arial" w:hAnsi="Arial" w:cs="Arial"/>
                <w:color w:val="000000"/>
                <w:sz w:val="22"/>
                <w:szCs w:val="22"/>
                <w:lang w:eastAsia="el-GR"/>
              </w:rPr>
              <w:t xml:space="preserve">2) Frank </w:t>
            </w:r>
            <w:proofErr w:type="spellStart"/>
            <w:r w:rsidRPr="00232B39">
              <w:rPr>
                <w:rFonts w:ascii="Arial" w:hAnsi="Arial" w:cs="Arial"/>
                <w:color w:val="000000"/>
                <w:sz w:val="22"/>
                <w:szCs w:val="22"/>
                <w:lang w:eastAsia="el-GR"/>
              </w:rPr>
              <w:t>Wijckmans</w:t>
            </w:r>
            <w:proofErr w:type="spellEnd"/>
            <w:r w:rsidRPr="00232B39">
              <w:rPr>
                <w:rFonts w:ascii="Arial" w:hAnsi="Arial" w:cs="Arial"/>
                <w:color w:val="000000"/>
                <w:sz w:val="22"/>
                <w:szCs w:val="22"/>
                <w:lang w:eastAsia="el-GR"/>
              </w:rPr>
              <w:t>/</w:t>
            </w:r>
            <w:proofErr w:type="spellStart"/>
            <w:r w:rsidRPr="00232B39">
              <w:rPr>
                <w:rFonts w:ascii="Arial" w:hAnsi="Arial" w:cs="Arial"/>
                <w:color w:val="000000"/>
                <w:sz w:val="22"/>
                <w:szCs w:val="22"/>
                <w:lang w:eastAsia="el-GR"/>
              </w:rPr>
              <w:t>FilipTuytschaever</w:t>
            </w:r>
            <w:proofErr w:type="spellEnd"/>
            <w:r w:rsidRPr="00232B39">
              <w:rPr>
                <w:rFonts w:ascii="Arial" w:hAnsi="Arial" w:cs="Arial"/>
                <w:color w:val="000000"/>
                <w:sz w:val="22"/>
                <w:szCs w:val="22"/>
                <w:lang w:eastAsia="el-GR"/>
              </w:rPr>
              <w:t>, Vertical Agreements in</w:t>
            </w:r>
          </w:p>
          <w:p w:rsidR="00E92415" w:rsidRPr="00232B39" w:rsidRDefault="00E92415" w:rsidP="00E92415">
            <w:pPr>
              <w:shd w:val="clear" w:color="auto" w:fill="FFFFFF"/>
              <w:spacing w:line="0" w:lineRule="auto"/>
              <w:rPr>
                <w:rFonts w:ascii="Arial" w:hAnsi="Arial" w:cs="Arial"/>
                <w:color w:val="000000"/>
                <w:sz w:val="22"/>
                <w:szCs w:val="22"/>
                <w:lang w:eastAsia="el-GR"/>
              </w:rPr>
            </w:pPr>
            <w:r w:rsidRPr="00232B39">
              <w:rPr>
                <w:rFonts w:ascii="Arial" w:hAnsi="Arial" w:cs="Arial"/>
                <w:color w:val="000000"/>
                <w:sz w:val="22"/>
                <w:szCs w:val="22"/>
                <w:lang w:eastAsia="el-GR"/>
              </w:rPr>
              <w:t>EU Competition Law, second edition, Oxford University Press,</w:t>
            </w:r>
          </w:p>
          <w:p w:rsidR="00E92415" w:rsidRPr="00232B39" w:rsidRDefault="00E92415" w:rsidP="00E92415">
            <w:pPr>
              <w:shd w:val="clear" w:color="auto" w:fill="FFFFFF"/>
              <w:spacing w:line="0" w:lineRule="auto"/>
              <w:rPr>
                <w:rFonts w:ascii="Arial" w:hAnsi="Arial" w:cs="Arial"/>
                <w:color w:val="000000"/>
                <w:sz w:val="22"/>
                <w:szCs w:val="22"/>
                <w:lang w:val="fr-FR" w:eastAsia="el-GR"/>
              </w:rPr>
            </w:pPr>
            <w:r w:rsidRPr="00232B39">
              <w:rPr>
                <w:rFonts w:ascii="Arial" w:hAnsi="Arial" w:cs="Arial"/>
                <w:color w:val="000000"/>
                <w:sz w:val="22"/>
                <w:szCs w:val="22"/>
                <w:lang w:val="fr-FR" w:eastAsia="el-GR"/>
              </w:rPr>
              <w:t>2011</w:t>
            </w:r>
          </w:p>
          <w:p w:rsidR="00E92415" w:rsidRPr="00232B39" w:rsidRDefault="00E92415" w:rsidP="00E92415">
            <w:pPr>
              <w:shd w:val="clear" w:color="auto" w:fill="FFFFFF"/>
              <w:spacing w:line="0" w:lineRule="auto"/>
              <w:rPr>
                <w:rFonts w:ascii="Arial" w:hAnsi="Arial" w:cs="Arial"/>
                <w:color w:val="000000"/>
                <w:sz w:val="22"/>
                <w:szCs w:val="22"/>
                <w:lang w:val="fr-FR" w:eastAsia="el-GR"/>
              </w:rPr>
            </w:pPr>
            <w:r w:rsidRPr="00232B39">
              <w:rPr>
                <w:rFonts w:ascii="Arial" w:hAnsi="Arial" w:cs="Arial"/>
                <w:color w:val="000000"/>
                <w:sz w:val="22"/>
                <w:szCs w:val="22"/>
                <w:lang w:val="fr-FR" w:eastAsia="el-GR"/>
              </w:rPr>
              <w:t xml:space="preserve">3)   Damien   </w:t>
            </w:r>
            <w:proofErr w:type="spellStart"/>
            <w:r w:rsidRPr="00232B39">
              <w:rPr>
                <w:rFonts w:ascii="Arial" w:hAnsi="Arial" w:cs="Arial"/>
                <w:color w:val="000000"/>
                <w:sz w:val="22"/>
                <w:szCs w:val="22"/>
                <w:lang w:val="fr-FR" w:eastAsia="el-GR"/>
              </w:rPr>
              <w:t>Geradin</w:t>
            </w:r>
            <w:proofErr w:type="spellEnd"/>
            <w:r w:rsidRPr="00232B39">
              <w:rPr>
                <w:rFonts w:ascii="Arial" w:hAnsi="Arial" w:cs="Arial"/>
                <w:color w:val="000000"/>
                <w:sz w:val="22"/>
                <w:szCs w:val="22"/>
                <w:lang w:val="fr-FR" w:eastAsia="el-GR"/>
              </w:rPr>
              <w:t xml:space="preserve">,   Anne   </w:t>
            </w:r>
            <w:proofErr w:type="spellStart"/>
            <w:r w:rsidRPr="00232B39">
              <w:rPr>
                <w:rFonts w:ascii="Arial" w:hAnsi="Arial" w:cs="Arial"/>
                <w:color w:val="000000"/>
                <w:sz w:val="22"/>
                <w:szCs w:val="22"/>
                <w:lang w:val="fr-FR" w:eastAsia="el-GR"/>
              </w:rPr>
              <w:t>Layne</w:t>
            </w:r>
            <w:proofErr w:type="spellEnd"/>
            <w:r w:rsidRPr="00232B39">
              <w:rPr>
                <w:rFonts w:ascii="Arial" w:hAnsi="Arial" w:cs="Arial"/>
                <w:color w:val="000000"/>
                <w:sz w:val="22"/>
                <w:szCs w:val="22"/>
                <w:lang w:val="fr-FR" w:eastAsia="el-GR"/>
              </w:rPr>
              <w:t>-</w:t>
            </w:r>
            <w:proofErr w:type="spellStart"/>
            <w:r w:rsidRPr="00232B39">
              <w:rPr>
                <w:rFonts w:ascii="Arial" w:hAnsi="Arial" w:cs="Arial"/>
                <w:color w:val="000000"/>
                <w:sz w:val="22"/>
                <w:szCs w:val="22"/>
                <w:lang w:val="fr-FR" w:eastAsia="el-GR"/>
              </w:rPr>
              <w:t>Farrar</w:t>
            </w:r>
            <w:proofErr w:type="spellEnd"/>
            <w:r w:rsidRPr="00232B39">
              <w:rPr>
                <w:rFonts w:ascii="Arial" w:hAnsi="Arial" w:cs="Arial"/>
                <w:color w:val="000000"/>
                <w:sz w:val="22"/>
                <w:szCs w:val="22"/>
                <w:lang w:val="fr-FR" w:eastAsia="el-GR"/>
              </w:rPr>
              <w:t>,   Nicolas   Petit,   EU</w:t>
            </w:r>
          </w:p>
          <w:p w:rsidR="00E92415" w:rsidRPr="00232B39" w:rsidRDefault="00E92415" w:rsidP="00E92415">
            <w:pPr>
              <w:shd w:val="clear" w:color="auto" w:fill="FFFFFF"/>
              <w:spacing w:line="0" w:lineRule="auto"/>
              <w:rPr>
                <w:rFonts w:ascii="Arial" w:hAnsi="Arial" w:cs="Arial"/>
                <w:color w:val="000000"/>
                <w:sz w:val="22"/>
                <w:szCs w:val="22"/>
                <w:lang w:eastAsia="el-GR"/>
              </w:rPr>
            </w:pPr>
            <w:r w:rsidRPr="00232B39">
              <w:rPr>
                <w:rFonts w:ascii="Arial" w:hAnsi="Arial" w:cs="Arial"/>
                <w:color w:val="000000"/>
                <w:sz w:val="22"/>
                <w:szCs w:val="22"/>
                <w:lang w:eastAsia="el-GR"/>
              </w:rPr>
              <w:t>Competition Law and Economics, Oxford University Press, 2012</w:t>
            </w:r>
          </w:p>
          <w:p w:rsidR="00E92415" w:rsidRPr="00232B39" w:rsidRDefault="00E92415" w:rsidP="00E92415">
            <w:pPr>
              <w:shd w:val="clear" w:color="auto" w:fill="FFFFFF"/>
              <w:spacing w:line="0" w:lineRule="auto"/>
              <w:rPr>
                <w:rFonts w:ascii="Arial" w:hAnsi="Arial" w:cs="Arial"/>
                <w:color w:val="000000"/>
                <w:sz w:val="22"/>
                <w:szCs w:val="22"/>
                <w:lang w:eastAsia="el-GR"/>
              </w:rPr>
            </w:pPr>
            <w:r w:rsidRPr="00232B39">
              <w:rPr>
                <w:rFonts w:ascii="Arial" w:hAnsi="Arial" w:cs="Arial"/>
                <w:color w:val="000000"/>
                <w:sz w:val="22"/>
                <w:szCs w:val="22"/>
                <w:lang w:eastAsia="el-GR"/>
              </w:rPr>
              <w:t>4)   Richard   Whish/David   Bailey,   Competition   Law,   seventh</w:t>
            </w:r>
          </w:p>
          <w:p w:rsidR="00E92415" w:rsidRPr="00232B39" w:rsidRDefault="00E92415" w:rsidP="00E92415">
            <w:pPr>
              <w:shd w:val="clear" w:color="auto" w:fill="FFFFFF"/>
              <w:spacing w:line="0" w:lineRule="auto"/>
              <w:rPr>
                <w:rFonts w:ascii="Arial" w:hAnsi="Arial" w:cs="Arial"/>
                <w:color w:val="000000"/>
                <w:sz w:val="22"/>
                <w:szCs w:val="22"/>
                <w:lang w:eastAsia="el-GR"/>
              </w:rPr>
            </w:pPr>
            <w:r w:rsidRPr="00232B39">
              <w:rPr>
                <w:rFonts w:ascii="Arial" w:hAnsi="Arial" w:cs="Arial"/>
                <w:color w:val="000000"/>
                <w:sz w:val="22"/>
                <w:szCs w:val="22"/>
                <w:lang w:eastAsia="el-GR"/>
              </w:rPr>
              <w:t>edition, Oxford University Press, 2012</w:t>
            </w:r>
          </w:p>
          <w:p w:rsidR="00E92415" w:rsidRPr="00232B39" w:rsidRDefault="00E92415" w:rsidP="00E92415">
            <w:pPr>
              <w:shd w:val="clear" w:color="auto" w:fill="FFFFFF"/>
              <w:spacing w:line="0" w:lineRule="auto"/>
              <w:rPr>
                <w:rFonts w:ascii="Arial" w:hAnsi="Arial" w:cs="Arial"/>
                <w:color w:val="000000"/>
                <w:sz w:val="22"/>
                <w:szCs w:val="22"/>
                <w:lang w:eastAsia="el-GR"/>
              </w:rPr>
            </w:pPr>
            <w:r w:rsidRPr="00232B39">
              <w:rPr>
                <w:rFonts w:ascii="Arial" w:hAnsi="Arial" w:cs="Arial"/>
                <w:color w:val="000000"/>
                <w:sz w:val="22"/>
                <w:szCs w:val="22"/>
                <w:lang w:eastAsia="el-GR"/>
              </w:rPr>
              <w:t xml:space="preserve">5) Ariel </w:t>
            </w:r>
            <w:proofErr w:type="spellStart"/>
            <w:r w:rsidRPr="00232B39">
              <w:rPr>
                <w:rFonts w:ascii="Arial" w:hAnsi="Arial" w:cs="Arial"/>
                <w:color w:val="000000"/>
                <w:sz w:val="22"/>
                <w:szCs w:val="22"/>
                <w:lang w:eastAsia="el-GR"/>
              </w:rPr>
              <w:t>Ezrachi</w:t>
            </w:r>
            <w:proofErr w:type="spellEnd"/>
            <w:r w:rsidRPr="00232B39">
              <w:rPr>
                <w:rFonts w:ascii="Arial" w:hAnsi="Arial" w:cs="Arial"/>
                <w:color w:val="000000"/>
                <w:sz w:val="22"/>
                <w:szCs w:val="22"/>
                <w:lang w:eastAsia="el-GR"/>
              </w:rPr>
              <w:t>, EU Competition Law: An Analytical Guide to the</w:t>
            </w:r>
          </w:p>
          <w:p w:rsidR="00E92415" w:rsidRPr="00232B39" w:rsidRDefault="00E92415" w:rsidP="00E92415">
            <w:pPr>
              <w:shd w:val="clear" w:color="auto" w:fill="FFFFFF"/>
              <w:spacing w:line="0" w:lineRule="auto"/>
              <w:rPr>
                <w:rFonts w:ascii="Arial" w:hAnsi="Arial" w:cs="Arial"/>
                <w:color w:val="000000"/>
                <w:sz w:val="22"/>
                <w:szCs w:val="22"/>
                <w:lang w:eastAsia="el-GR"/>
              </w:rPr>
            </w:pPr>
            <w:r w:rsidRPr="00232B39">
              <w:rPr>
                <w:rFonts w:ascii="Arial" w:hAnsi="Arial" w:cs="Arial"/>
                <w:color w:val="000000"/>
                <w:sz w:val="22"/>
                <w:szCs w:val="22"/>
                <w:lang w:eastAsia="el-GR"/>
              </w:rPr>
              <w:t>Leading Cases, Bloomsbury Publishing, 2014</w:t>
            </w:r>
          </w:p>
          <w:p w:rsidR="00E92415" w:rsidRPr="00232B39" w:rsidRDefault="00E92415" w:rsidP="00E92415">
            <w:pPr>
              <w:shd w:val="clear" w:color="auto" w:fill="FFFFFF"/>
              <w:spacing w:line="0" w:lineRule="auto"/>
              <w:rPr>
                <w:rFonts w:ascii="Arial" w:hAnsi="Arial" w:cs="Arial"/>
                <w:color w:val="000000"/>
                <w:sz w:val="22"/>
                <w:szCs w:val="22"/>
                <w:lang w:eastAsia="el-GR"/>
              </w:rPr>
            </w:pPr>
            <w:r w:rsidRPr="00232B39">
              <w:rPr>
                <w:rFonts w:ascii="Arial" w:hAnsi="Arial" w:cs="Arial"/>
                <w:color w:val="000000"/>
                <w:sz w:val="22"/>
                <w:szCs w:val="22"/>
                <w:lang w:eastAsia="el-GR"/>
              </w:rPr>
              <w:t>6) Bellamy and Child, European Union of Competition, seventh</w:t>
            </w:r>
          </w:p>
          <w:p w:rsidR="00E92415" w:rsidRPr="00232B39" w:rsidRDefault="00E92415" w:rsidP="00E92415">
            <w:pPr>
              <w:shd w:val="clear" w:color="auto" w:fill="FFFFFF"/>
              <w:spacing w:line="0" w:lineRule="auto"/>
              <w:rPr>
                <w:rFonts w:ascii="Arial" w:hAnsi="Arial" w:cs="Arial"/>
                <w:color w:val="000000"/>
                <w:sz w:val="22"/>
                <w:szCs w:val="22"/>
                <w:lang w:eastAsia="el-GR"/>
              </w:rPr>
            </w:pPr>
            <w:r w:rsidRPr="00232B39">
              <w:rPr>
                <w:rFonts w:ascii="Arial" w:hAnsi="Arial" w:cs="Arial"/>
                <w:color w:val="000000"/>
                <w:sz w:val="22"/>
                <w:szCs w:val="22"/>
                <w:lang w:eastAsia="el-GR"/>
              </w:rPr>
              <w:t>edition, Oxford University Press, 2013</w:t>
            </w:r>
          </w:p>
          <w:p w:rsidR="00E92415" w:rsidRPr="00232B39" w:rsidRDefault="00E92415" w:rsidP="00E92415">
            <w:pPr>
              <w:shd w:val="clear" w:color="auto" w:fill="FFFFFF"/>
              <w:spacing w:line="0" w:lineRule="auto"/>
              <w:rPr>
                <w:rFonts w:ascii="Arial" w:hAnsi="Arial" w:cs="Arial"/>
                <w:color w:val="000000"/>
                <w:sz w:val="22"/>
                <w:szCs w:val="22"/>
                <w:lang w:eastAsia="el-GR"/>
              </w:rPr>
            </w:pPr>
            <w:r w:rsidRPr="00232B39">
              <w:rPr>
                <w:rFonts w:ascii="Arial" w:hAnsi="Arial" w:cs="Arial"/>
                <w:color w:val="000000"/>
                <w:sz w:val="22"/>
                <w:szCs w:val="22"/>
                <w:lang w:eastAsia="el-GR"/>
              </w:rPr>
              <w:t xml:space="preserve">7) </w:t>
            </w:r>
            <w:r w:rsidRPr="00232B39">
              <w:rPr>
                <w:rFonts w:ascii="Arial" w:hAnsi="Arial" w:cs="Arial"/>
                <w:color w:val="000000"/>
                <w:sz w:val="22"/>
                <w:szCs w:val="22"/>
                <w:lang w:val="el-GR" w:eastAsia="el-GR"/>
              </w:rPr>
              <w:t>ΛάμπροςΚοτσίρης</w:t>
            </w:r>
            <w:r w:rsidRPr="00232B39">
              <w:rPr>
                <w:rFonts w:ascii="Arial" w:hAnsi="Arial" w:cs="Arial"/>
                <w:color w:val="000000"/>
                <w:sz w:val="22"/>
                <w:szCs w:val="22"/>
                <w:lang w:eastAsia="el-GR"/>
              </w:rPr>
              <w:t xml:space="preserve">, </w:t>
            </w:r>
            <w:r w:rsidRPr="00232B39">
              <w:rPr>
                <w:rFonts w:ascii="Arial" w:hAnsi="Arial" w:cs="Arial"/>
                <w:color w:val="000000"/>
                <w:sz w:val="22"/>
                <w:szCs w:val="22"/>
                <w:lang w:val="el-GR" w:eastAsia="el-GR"/>
              </w:rPr>
              <w:t>ΕυρωπαϊκόΕμπορικόΔίκαιο</w:t>
            </w:r>
            <w:r w:rsidRPr="00232B39">
              <w:rPr>
                <w:rFonts w:ascii="Arial" w:hAnsi="Arial" w:cs="Arial"/>
                <w:color w:val="000000"/>
                <w:sz w:val="22"/>
                <w:szCs w:val="22"/>
                <w:lang w:eastAsia="el-GR"/>
              </w:rPr>
              <w:t xml:space="preserve">, </w:t>
            </w:r>
            <w:r w:rsidRPr="00232B39">
              <w:rPr>
                <w:rFonts w:ascii="Arial" w:hAnsi="Arial" w:cs="Arial"/>
                <w:color w:val="000000"/>
                <w:sz w:val="22"/>
                <w:szCs w:val="22"/>
                <w:lang w:val="el-GR" w:eastAsia="el-GR"/>
              </w:rPr>
              <w:t>β</w:t>
            </w:r>
            <w:r w:rsidRPr="00232B39">
              <w:rPr>
                <w:rFonts w:ascii="Arial" w:hAnsi="Arial" w:cs="Arial"/>
                <w:color w:val="000000"/>
                <w:sz w:val="22"/>
                <w:szCs w:val="22"/>
                <w:lang w:eastAsia="el-GR"/>
              </w:rPr>
              <w:t xml:space="preserve">’ </w:t>
            </w:r>
            <w:r w:rsidRPr="00232B39">
              <w:rPr>
                <w:rFonts w:ascii="Arial" w:hAnsi="Arial" w:cs="Arial"/>
                <w:color w:val="000000"/>
                <w:sz w:val="22"/>
                <w:szCs w:val="22"/>
                <w:lang w:val="el-GR" w:eastAsia="el-GR"/>
              </w:rPr>
              <w:t>έκδοση</w:t>
            </w:r>
            <w:r w:rsidRPr="00232B39">
              <w:rPr>
                <w:rFonts w:ascii="Arial" w:hAnsi="Arial" w:cs="Arial"/>
                <w:color w:val="000000"/>
                <w:sz w:val="22"/>
                <w:szCs w:val="22"/>
                <w:lang w:eastAsia="el-GR"/>
              </w:rPr>
              <w:t>,</w:t>
            </w:r>
          </w:p>
          <w:p w:rsidR="00E92415" w:rsidRPr="00232B39" w:rsidRDefault="00E92415" w:rsidP="00E92415">
            <w:pPr>
              <w:shd w:val="clear" w:color="auto" w:fill="FFFFFF"/>
              <w:spacing w:line="0" w:lineRule="auto"/>
              <w:rPr>
                <w:rFonts w:ascii="Arial" w:hAnsi="Arial" w:cs="Arial"/>
                <w:color w:val="000000"/>
                <w:sz w:val="22"/>
                <w:szCs w:val="22"/>
                <w:lang w:val="el-GR" w:eastAsia="el-GR"/>
              </w:rPr>
            </w:pPr>
            <w:r w:rsidRPr="00232B39">
              <w:rPr>
                <w:rFonts w:ascii="Arial" w:hAnsi="Arial" w:cs="Arial"/>
                <w:color w:val="000000"/>
                <w:sz w:val="22"/>
                <w:szCs w:val="22"/>
                <w:lang w:val="el-GR" w:eastAsia="el-GR"/>
              </w:rPr>
              <w:t>εκδόσεις Σάκκουλα, 2012</w:t>
            </w:r>
          </w:p>
          <w:p w:rsidR="00E92415" w:rsidRPr="00232B39" w:rsidRDefault="00E92415" w:rsidP="00E92415">
            <w:pPr>
              <w:shd w:val="clear" w:color="auto" w:fill="FFFFFF"/>
              <w:spacing w:line="0" w:lineRule="auto"/>
              <w:rPr>
                <w:rFonts w:ascii="Arial" w:hAnsi="Arial" w:cs="Arial"/>
                <w:color w:val="000000"/>
                <w:sz w:val="22"/>
                <w:szCs w:val="22"/>
                <w:lang w:val="el-GR" w:eastAsia="el-GR"/>
              </w:rPr>
            </w:pPr>
            <w:r w:rsidRPr="00232B39">
              <w:rPr>
                <w:rFonts w:ascii="Arial" w:hAnsi="Arial" w:cs="Arial"/>
                <w:color w:val="000000"/>
                <w:sz w:val="22"/>
                <w:szCs w:val="22"/>
                <w:lang w:val="el-GR" w:eastAsia="el-GR"/>
              </w:rPr>
              <w:t>8) Λάμπρος Κοτσίρης, Δίκαιο Ανταγωνισμού, ζ’ έκδοση, εκδόσεις</w:t>
            </w:r>
          </w:p>
          <w:p w:rsidR="00E92415" w:rsidRPr="00232B39" w:rsidRDefault="00E92415" w:rsidP="00E92415">
            <w:pPr>
              <w:shd w:val="clear" w:color="auto" w:fill="FFFFFF"/>
              <w:spacing w:line="0" w:lineRule="auto"/>
              <w:rPr>
                <w:rFonts w:ascii="Arial" w:hAnsi="Arial" w:cs="Arial"/>
                <w:color w:val="000000"/>
                <w:sz w:val="22"/>
                <w:szCs w:val="22"/>
                <w:lang w:val="el-GR" w:eastAsia="el-GR"/>
              </w:rPr>
            </w:pPr>
            <w:r w:rsidRPr="00232B39">
              <w:rPr>
                <w:rFonts w:ascii="Arial" w:hAnsi="Arial" w:cs="Arial"/>
                <w:color w:val="000000"/>
                <w:sz w:val="22"/>
                <w:szCs w:val="22"/>
                <w:lang w:val="el-GR" w:eastAsia="el-GR"/>
              </w:rPr>
              <w:t>Σάκκουλα, 2015</w:t>
            </w:r>
          </w:p>
          <w:p w:rsidR="00E92415" w:rsidRPr="00232B39" w:rsidRDefault="00E92415" w:rsidP="00E92415">
            <w:pPr>
              <w:shd w:val="clear" w:color="auto" w:fill="FFFFFF"/>
              <w:spacing w:line="0" w:lineRule="auto"/>
              <w:rPr>
                <w:rFonts w:ascii="Arial" w:hAnsi="Arial" w:cs="Arial"/>
                <w:color w:val="000000"/>
                <w:sz w:val="22"/>
                <w:szCs w:val="22"/>
                <w:lang w:val="el-GR" w:eastAsia="el-GR"/>
              </w:rPr>
            </w:pPr>
            <w:r w:rsidRPr="00232B39">
              <w:rPr>
                <w:rFonts w:ascii="Arial" w:hAnsi="Arial" w:cs="Arial"/>
                <w:color w:val="000000"/>
                <w:sz w:val="22"/>
                <w:szCs w:val="22"/>
                <w:lang w:val="el-GR" w:eastAsia="el-GR"/>
              </w:rPr>
              <w:t>9)   Δημήτριος   Τζουγανάτος   (επιμ.),   Δίκαιο   του   Ελεύθερου</w:t>
            </w:r>
          </w:p>
          <w:p w:rsidR="00E92415" w:rsidRPr="00232B39" w:rsidRDefault="00E92415" w:rsidP="00E92415">
            <w:pPr>
              <w:shd w:val="clear" w:color="auto" w:fill="FFFFFF"/>
              <w:spacing w:line="0" w:lineRule="auto"/>
              <w:rPr>
                <w:rFonts w:ascii="Arial" w:hAnsi="Arial" w:cs="Arial"/>
                <w:color w:val="000000"/>
                <w:sz w:val="22"/>
                <w:szCs w:val="22"/>
                <w:lang w:val="el-GR" w:eastAsia="el-GR"/>
              </w:rPr>
            </w:pPr>
            <w:r w:rsidRPr="00232B39">
              <w:rPr>
                <w:rFonts w:ascii="Arial" w:hAnsi="Arial" w:cs="Arial"/>
                <w:color w:val="000000"/>
                <w:sz w:val="22"/>
                <w:szCs w:val="22"/>
                <w:lang w:val="el-GR" w:eastAsia="el-GR"/>
              </w:rPr>
              <w:t>Ανταγωνισμού, Νομική Βιβλιοθήκη, 2013</w:t>
            </w:r>
          </w:p>
          <w:p w:rsidR="00E92415" w:rsidRPr="00232B39" w:rsidRDefault="00E92415" w:rsidP="00E92415">
            <w:pPr>
              <w:shd w:val="clear" w:color="auto" w:fill="FFFFFF"/>
              <w:spacing w:line="0" w:lineRule="auto"/>
              <w:rPr>
                <w:rFonts w:ascii="Arial" w:hAnsi="Arial" w:cs="Arial"/>
                <w:color w:val="000000"/>
                <w:sz w:val="22"/>
                <w:szCs w:val="22"/>
                <w:lang w:val="el-GR" w:eastAsia="el-GR"/>
              </w:rPr>
            </w:pPr>
            <w:r w:rsidRPr="00232B39">
              <w:rPr>
                <w:rFonts w:ascii="Arial" w:hAnsi="Arial" w:cs="Arial"/>
                <w:color w:val="000000"/>
                <w:sz w:val="22"/>
                <w:szCs w:val="22"/>
                <w:lang w:val="el-GR" w:eastAsia="el-GR"/>
              </w:rPr>
              <w:t>10)   Λάζαρος   Γρηγοριάδης,   Παράλληλες   Εισαγωγές</w:t>
            </w:r>
          </w:p>
          <w:p w:rsidR="00E92415" w:rsidRPr="00232B39" w:rsidRDefault="00E92415" w:rsidP="00E92415">
            <w:pPr>
              <w:shd w:val="clear" w:color="auto" w:fill="FFFFFF"/>
              <w:spacing w:line="0" w:lineRule="auto"/>
              <w:rPr>
                <w:rFonts w:ascii="Arial" w:hAnsi="Arial" w:cs="Arial"/>
                <w:color w:val="000000"/>
                <w:sz w:val="22"/>
                <w:szCs w:val="22"/>
                <w:lang w:val="el-GR" w:eastAsia="el-GR"/>
              </w:rPr>
            </w:pPr>
            <w:r w:rsidRPr="00232B39">
              <w:rPr>
                <w:rFonts w:ascii="Arial" w:hAnsi="Arial" w:cs="Arial"/>
                <w:color w:val="000000"/>
                <w:sz w:val="22"/>
                <w:szCs w:val="22"/>
                <w:lang w:val="el-GR" w:eastAsia="el-GR"/>
              </w:rPr>
              <w:t>Φαρμακευτικών   Προϊόντων   για   Ανθρώπινη   Χρήση   και   Δίκαιο</w:t>
            </w:r>
          </w:p>
          <w:p w:rsidR="00E92415" w:rsidRPr="00232B39" w:rsidRDefault="00E92415" w:rsidP="00E92415">
            <w:pPr>
              <w:shd w:val="clear" w:color="auto" w:fill="FFFFFF"/>
              <w:spacing w:line="0" w:lineRule="auto"/>
              <w:rPr>
                <w:rFonts w:ascii="Arial" w:hAnsi="Arial" w:cs="Arial"/>
                <w:color w:val="000000"/>
                <w:sz w:val="22"/>
                <w:szCs w:val="22"/>
                <w:lang w:val="el-GR" w:eastAsia="el-GR"/>
              </w:rPr>
            </w:pPr>
            <w:r w:rsidRPr="00232B39">
              <w:rPr>
                <w:rFonts w:ascii="Arial" w:hAnsi="Arial" w:cs="Arial"/>
                <w:color w:val="000000"/>
                <w:sz w:val="22"/>
                <w:szCs w:val="22"/>
                <w:lang w:val="el-GR" w:eastAsia="el-GR"/>
              </w:rPr>
              <w:t>Ανταγωνισμού   της   Ευρωπαϊκής   Ένωσης,   εκδόσεις   Σάκκουλα,</w:t>
            </w:r>
          </w:p>
          <w:p w:rsidR="00E92415" w:rsidRPr="00232B39" w:rsidRDefault="00E92415" w:rsidP="00E92415">
            <w:pPr>
              <w:shd w:val="clear" w:color="auto" w:fill="FFFFFF"/>
              <w:spacing w:line="0" w:lineRule="auto"/>
              <w:rPr>
                <w:rFonts w:ascii="Arial" w:hAnsi="Arial" w:cs="Arial"/>
                <w:color w:val="000000"/>
                <w:sz w:val="22"/>
                <w:szCs w:val="22"/>
                <w:lang w:val="el-GR" w:eastAsia="el-GR"/>
              </w:rPr>
            </w:pPr>
            <w:r w:rsidRPr="00232B39">
              <w:rPr>
                <w:rFonts w:ascii="Arial" w:hAnsi="Arial" w:cs="Arial"/>
                <w:color w:val="000000"/>
                <w:sz w:val="22"/>
                <w:szCs w:val="22"/>
                <w:lang w:val="el-GR" w:eastAsia="el-GR"/>
              </w:rPr>
              <w:t>2012 (Δημοσιεύματα Μακεδονικής Ένωσης Εμπορικού Δικαίου)</w:t>
            </w:r>
          </w:p>
          <w:p w:rsidR="00E92415" w:rsidRPr="00232B39" w:rsidRDefault="00E92415" w:rsidP="00E92415">
            <w:pPr>
              <w:shd w:val="clear" w:color="auto" w:fill="FFFFFF"/>
              <w:spacing w:line="0" w:lineRule="auto"/>
              <w:rPr>
                <w:rFonts w:ascii="Arial" w:hAnsi="Arial" w:cs="Arial"/>
                <w:color w:val="000000"/>
                <w:sz w:val="22"/>
                <w:szCs w:val="22"/>
                <w:lang w:eastAsia="el-GR"/>
              </w:rPr>
            </w:pPr>
            <w:r w:rsidRPr="00232B39">
              <w:rPr>
                <w:rFonts w:ascii="Arial" w:hAnsi="Arial" w:cs="Arial"/>
                <w:color w:val="000000"/>
                <w:sz w:val="22"/>
                <w:szCs w:val="22"/>
                <w:lang w:eastAsia="el-GR"/>
              </w:rPr>
              <w:t>= Lazaros Grigoriadis, The Application of EU Competition Law in</w:t>
            </w:r>
          </w:p>
          <w:p w:rsidR="00E92415" w:rsidRPr="00232B39" w:rsidRDefault="00E92415" w:rsidP="00E92415">
            <w:pPr>
              <w:shd w:val="clear" w:color="auto" w:fill="FFFFFF"/>
              <w:spacing w:line="0" w:lineRule="auto"/>
              <w:rPr>
                <w:rFonts w:ascii="Arial" w:hAnsi="Arial" w:cs="Arial"/>
                <w:color w:val="000000"/>
                <w:sz w:val="22"/>
                <w:szCs w:val="22"/>
                <w:lang w:eastAsia="el-GR"/>
              </w:rPr>
            </w:pPr>
            <w:r w:rsidRPr="00232B39">
              <w:rPr>
                <w:rFonts w:ascii="Arial" w:hAnsi="Arial" w:cs="Arial"/>
                <w:color w:val="000000"/>
                <w:sz w:val="22"/>
                <w:szCs w:val="22"/>
                <w:lang w:eastAsia="el-GR"/>
              </w:rPr>
              <w:t>the   Pharmaceutical   Sector:   The   Case   of   Parallel   Trade,</w:t>
            </w:r>
          </w:p>
          <w:p w:rsidR="00E92415" w:rsidRPr="00232B39" w:rsidRDefault="00E92415" w:rsidP="00E92415">
            <w:pPr>
              <w:shd w:val="clear" w:color="auto" w:fill="FFFFFF"/>
              <w:spacing w:line="0" w:lineRule="auto"/>
              <w:rPr>
                <w:rFonts w:ascii="Arial" w:hAnsi="Arial" w:cs="Arial"/>
                <w:color w:val="000000"/>
                <w:sz w:val="22"/>
                <w:szCs w:val="22"/>
                <w:lang w:eastAsia="el-GR"/>
              </w:rPr>
            </w:pPr>
            <w:r w:rsidRPr="00232B39">
              <w:rPr>
                <w:rFonts w:ascii="Arial" w:hAnsi="Arial" w:cs="Arial"/>
                <w:color w:val="000000"/>
                <w:sz w:val="22"/>
                <w:szCs w:val="22"/>
                <w:lang w:eastAsia="el-GR"/>
              </w:rPr>
              <w:t>European Business Law Review, Vol. 25, No. 1, 2014, pp. 141-</w:t>
            </w:r>
          </w:p>
          <w:p w:rsidR="00E92415" w:rsidRPr="00232B39" w:rsidRDefault="00E92415" w:rsidP="00E92415">
            <w:pPr>
              <w:shd w:val="clear" w:color="auto" w:fill="FFFFFF"/>
              <w:spacing w:line="0" w:lineRule="auto"/>
              <w:rPr>
                <w:rFonts w:ascii="Arial" w:hAnsi="Arial" w:cs="Arial"/>
                <w:color w:val="000000"/>
                <w:sz w:val="22"/>
                <w:szCs w:val="22"/>
                <w:lang w:eastAsia="el-GR"/>
              </w:rPr>
            </w:pPr>
            <w:r w:rsidRPr="00232B39">
              <w:rPr>
                <w:rFonts w:ascii="Arial" w:hAnsi="Arial" w:cs="Arial"/>
                <w:color w:val="000000"/>
                <w:sz w:val="22"/>
                <w:szCs w:val="22"/>
                <w:lang w:eastAsia="el-GR"/>
              </w:rPr>
              <w:t>201</w:t>
            </w:r>
          </w:p>
          <w:p w:rsidR="00573AE7" w:rsidRPr="00232B39" w:rsidRDefault="00573AE7" w:rsidP="00232B39">
            <w:pPr>
              <w:spacing w:after="60"/>
              <w:jc w:val="both"/>
              <w:rPr>
                <w:rFonts w:ascii="Arial" w:hAnsi="Arial" w:cs="Arial"/>
                <w:sz w:val="22"/>
                <w:szCs w:val="22"/>
                <w:lang w:val="pt-BR"/>
              </w:rPr>
            </w:pPr>
            <w:r w:rsidRPr="00232B39">
              <w:rPr>
                <w:rFonts w:ascii="Arial" w:hAnsi="Arial" w:cs="Arial"/>
                <w:sz w:val="22"/>
                <w:szCs w:val="22"/>
                <w:lang w:val="pt-BR"/>
              </w:rPr>
              <w:t>1) Alison Jones/Brenda Surfin, EU Competition Law: Text, Cases, and Materials, fifth edition, Oxford University Press, 2014</w:t>
            </w:r>
          </w:p>
          <w:p w:rsidR="00573AE7" w:rsidRPr="00232B39" w:rsidRDefault="00573AE7" w:rsidP="00232B39">
            <w:pPr>
              <w:spacing w:after="60"/>
              <w:jc w:val="both"/>
              <w:rPr>
                <w:rFonts w:ascii="Arial" w:hAnsi="Arial" w:cs="Arial"/>
                <w:sz w:val="22"/>
                <w:szCs w:val="22"/>
                <w:lang w:val="pt-BR"/>
              </w:rPr>
            </w:pPr>
            <w:r w:rsidRPr="00232B39">
              <w:rPr>
                <w:rFonts w:ascii="Arial" w:hAnsi="Arial" w:cs="Arial"/>
                <w:sz w:val="22"/>
                <w:szCs w:val="22"/>
                <w:lang w:val="pt-BR"/>
              </w:rPr>
              <w:t>2) Frank Wijckmans/‎Filip Tuytschaever, Vertical Agreements in EU Competition Law, second edition, Oxford University Press, 2011</w:t>
            </w:r>
          </w:p>
          <w:p w:rsidR="00573AE7" w:rsidRPr="00232B39" w:rsidRDefault="00573AE7" w:rsidP="00232B39">
            <w:pPr>
              <w:spacing w:after="60"/>
              <w:jc w:val="both"/>
              <w:rPr>
                <w:rFonts w:ascii="Arial" w:hAnsi="Arial" w:cs="Arial"/>
                <w:sz w:val="22"/>
                <w:szCs w:val="22"/>
                <w:lang w:val="pt-BR"/>
              </w:rPr>
            </w:pPr>
            <w:r w:rsidRPr="00232B39">
              <w:rPr>
                <w:rFonts w:ascii="Arial" w:hAnsi="Arial" w:cs="Arial"/>
                <w:sz w:val="22"/>
                <w:szCs w:val="22"/>
                <w:lang w:val="pt-BR"/>
              </w:rPr>
              <w:t>3) Damien Geradin, ‎Anne Layne-Farrar, ‎Nicolas Petit, EU Competition Law and Economics, Oxford University Press, 2012</w:t>
            </w:r>
          </w:p>
          <w:p w:rsidR="00573AE7" w:rsidRPr="00232B39" w:rsidRDefault="00573AE7" w:rsidP="00232B39">
            <w:pPr>
              <w:spacing w:after="60"/>
              <w:jc w:val="both"/>
              <w:rPr>
                <w:rFonts w:ascii="Arial" w:hAnsi="Arial" w:cs="Arial"/>
                <w:sz w:val="22"/>
                <w:szCs w:val="22"/>
                <w:lang w:val="pt-BR"/>
              </w:rPr>
            </w:pPr>
            <w:r w:rsidRPr="00232B39">
              <w:rPr>
                <w:rFonts w:ascii="Arial" w:hAnsi="Arial" w:cs="Arial"/>
                <w:sz w:val="22"/>
                <w:szCs w:val="22"/>
                <w:lang w:val="pt-BR"/>
              </w:rPr>
              <w:t>4) Richard Whish/David Bailey, Competition Law, seventh edition, Oxford University Press, 2012</w:t>
            </w:r>
          </w:p>
          <w:p w:rsidR="00573AE7" w:rsidRPr="00232B39" w:rsidRDefault="00573AE7" w:rsidP="00232B39">
            <w:pPr>
              <w:spacing w:after="60"/>
              <w:jc w:val="both"/>
              <w:rPr>
                <w:rFonts w:ascii="Arial" w:hAnsi="Arial" w:cs="Arial"/>
                <w:sz w:val="22"/>
                <w:szCs w:val="22"/>
                <w:lang w:val="pt-BR"/>
              </w:rPr>
            </w:pPr>
            <w:r w:rsidRPr="00232B39">
              <w:rPr>
                <w:rFonts w:ascii="Arial" w:hAnsi="Arial" w:cs="Arial"/>
                <w:sz w:val="22"/>
                <w:szCs w:val="22"/>
                <w:lang w:val="pt-BR"/>
              </w:rPr>
              <w:t>5) Ariel Ezrachi, EU Competition Law: An Analytical Guide to the Leading Cases, Bloomsbury Publishing, 2014</w:t>
            </w:r>
          </w:p>
          <w:p w:rsidR="00573AE7" w:rsidRPr="00232B39" w:rsidRDefault="00573AE7" w:rsidP="00232B39">
            <w:pPr>
              <w:spacing w:after="60"/>
              <w:jc w:val="both"/>
              <w:rPr>
                <w:rFonts w:ascii="Arial" w:hAnsi="Arial" w:cs="Arial"/>
                <w:sz w:val="22"/>
                <w:szCs w:val="22"/>
                <w:lang w:val="pt-BR"/>
              </w:rPr>
            </w:pPr>
            <w:r w:rsidRPr="00232B39">
              <w:rPr>
                <w:rFonts w:ascii="Arial" w:hAnsi="Arial" w:cs="Arial"/>
                <w:sz w:val="22"/>
                <w:szCs w:val="22"/>
                <w:lang w:val="pt-BR"/>
              </w:rPr>
              <w:t>6) Bellamy and Child, European Union of Competition, seventh edition, Oxford University Press, 2013</w:t>
            </w:r>
          </w:p>
          <w:p w:rsidR="00573AE7" w:rsidRPr="00232B39" w:rsidRDefault="00573AE7" w:rsidP="00232B39">
            <w:pPr>
              <w:spacing w:after="60"/>
              <w:jc w:val="both"/>
              <w:rPr>
                <w:rFonts w:ascii="Arial" w:hAnsi="Arial" w:cs="Arial"/>
                <w:sz w:val="22"/>
                <w:szCs w:val="22"/>
                <w:lang w:val="el-GR"/>
              </w:rPr>
            </w:pPr>
            <w:r w:rsidRPr="00232B39">
              <w:rPr>
                <w:rFonts w:ascii="Arial" w:hAnsi="Arial" w:cs="Arial"/>
                <w:sz w:val="22"/>
                <w:szCs w:val="22"/>
                <w:lang w:val="pt-BR"/>
              </w:rPr>
              <w:t xml:space="preserve">7) </w:t>
            </w:r>
            <w:r w:rsidRPr="00232B39">
              <w:rPr>
                <w:rFonts w:ascii="Arial" w:hAnsi="Arial" w:cs="Arial"/>
                <w:sz w:val="22"/>
                <w:szCs w:val="22"/>
                <w:lang w:val="el-GR"/>
              </w:rPr>
              <w:t>Λάμπρος Κοτσίρης, Ευρωπαϊκό Εμπορικό Δίκαιο, β’ έκδοση, εκδόσεις Σάκκουλα, 2012</w:t>
            </w:r>
          </w:p>
          <w:p w:rsidR="00573AE7" w:rsidRPr="00232B39" w:rsidRDefault="00573AE7" w:rsidP="00232B39">
            <w:pPr>
              <w:spacing w:after="60"/>
              <w:jc w:val="both"/>
              <w:rPr>
                <w:rFonts w:ascii="Arial" w:hAnsi="Arial" w:cs="Arial"/>
                <w:sz w:val="22"/>
                <w:szCs w:val="22"/>
                <w:lang w:val="el-GR"/>
              </w:rPr>
            </w:pPr>
            <w:r w:rsidRPr="00232B39">
              <w:rPr>
                <w:rFonts w:ascii="Arial" w:hAnsi="Arial" w:cs="Arial"/>
                <w:sz w:val="22"/>
                <w:szCs w:val="22"/>
                <w:lang w:val="el-GR"/>
              </w:rPr>
              <w:t>8) Λάμπρος Κοτσίρης, Δίκαιο Ανταγωνισμού, ζ’ έκδοση, εκδόσεις Σάκκουλα, 2015</w:t>
            </w:r>
          </w:p>
          <w:p w:rsidR="00573AE7" w:rsidRPr="00232B39" w:rsidRDefault="00573AE7" w:rsidP="00232B39">
            <w:pPr>
              <w:spacing w:after="60"/>
              <w:jc w:val="both"/>
              <w:rPr>
                <w:rFonts w:ascii="Arial" w:hAnsi="Arial" w:cs="Arial"/>
                <w:sz w:val="22"/>
                <w:szCs w:val="22"/>
                <w:lang w:val="el-GR"/>
              </w:rPr>
            </w:pPr>
            <w:r w:rsidRPr="00232B39">
              <w:rPr>
                <w:rFonts w:ascii="Arial" w:hAnsi="Arial" w:cs="Arial"/>
                <w:sz w:val="22"/>
                <w:szCs w:val="22"/>
                <w:lang w:val="el-GR"/>
              </w:rPr>
              <w:t>9) Δημήτριος Τζουγανάτος (επιμ.), Δίκαιο του Ελεύθερου Ανταγωνισμού, Νομική Βιβλιοθήκη, 2013</w:t>
            </w:r>
          </w:p>
          <w:p w:rsidR="00ED1686" w:rsidRPr="00232B39" w:rsidRDefault="00573AE7" w:rsidP="00232B39">
            <w:pPr>
              <w:spacing w:after="60"/>
              <w:jc w:val="both"/>
              <w:rPr>
                <w:rFonts w:ascii="Arial" w:hAnsi="Arial" w:cs="Arial"/>
                <w:sz w:val="22"/>
                <w:szCs w:val="22"/>
                <w:lang w:val="el-GR"/>
              </w:rPr>
            </w:pPr>
            <w:r w:rsidRPr="00232B39">
              <w:rPr>
                <w:rFonts w:ascii="Arial" w:hAnsi="Arial" w:cs="Arial"/>
                <w:sz w:val="22"/>
                <w:szCs w:val="22"/>
                <w:lang w:val="el-GR"/>
              </w:rPr>
              <w:t xml:space="preserve">10) Λάζαρος Γρηγοριάδης, Παράλληλες Εισαγωγές Φαρμακευτικών Προϊόντων για Ανθρώπινη Χρήση και Δίκαιο Ανταγωνισμού της Ευρωπαϊκής Ένωσης, εκδόσεις Σάκκουλα, 2012 (Δημοσιεύματα Μακεδονικής Ένωσης Εμπορικού Δικαίου) = </w:t>
            </w:r>
            <w:proofErr w:type="spellStart"/>
            <w:r w:rsidRPr="00232B39">
              <w:rPr>
                <w:rFonts w:ascii="Arial" w:hAnsi="Arial" w:cs="Arial"/>
                <w:sz w:val="22"/>
                <w:szCs w:val="22"/>
              </w:rPr>
              <w:t>LazarosGrigoriadis</w:t>
            </w:r>
            <w:proofErr w:type="spellEnd"/>
            <w:r w:rsidRPr="00232B39">
              <w:rPr>
                <w:rFonts w:ascii="Arial" w:hAnsi="Arial" w:cs="Arial"/>
                <w:sz w:val="22"/>
                <w:szCs w:val="22"/>
                <w:lang w:val="el-GR"/>
              </w:rPr>
              <w:t xml:space="preserve">, TheApplicationof EU CompetitionLawinthePharmaceuticalSector: TheCaseofParallelTrade, </w:t>
            </w:r>
            <w:proofErr w:type="spellStart"/>
            <w:r w:rsidRPr="00232B39">
              <w:rPr>
                <w:rFonts w:ascii="Arial" w:hAnsi="Arial" w:cs="Arial"/>
                <w:sz w:val="22"/>
                <w:szCs w:val="22"/>
              </w:rPr>
              <w:t>EuropeanBusinessLawReview</w:t>
            </w:r>
            <w:proofErr w:type="spellEnd"/>
            <w:r w:rsidRPr="00232B39">
              <w:rPr>
                <w:rFonts w:ascii="Arial" w:hAnsi="Arial" w:cs="Arial"/>
                <w:sz w:val="22"/>
                <w:szCs w:val="22"/>
                <w:lang w:val="el-GR"/>
              </w:rPr>
              <w:t xml:space="preserve">, </w:t>
            </w:r>
            <w:proofErr w:type="spellStart"/>
            <w:r w:rsidRPr="00232B39">
              <w:rPr>
                <w:rFonts w:ascii="Arial" w:hAnsi="Arial" w:cs="Arial"/>
                <w:sz w:val="22"/>
                <w:szCs w:val="22"/>
              </w:rPr>
              <w:t>Vol</w:t>
            </w:r>
            <w:proofErr w:type="spellEnd"/>
            <w:r w:rsidRPr="00232B39">
              <w:rPr>
                <w:rFonts w:ascii="Arial" w:hAnsi="Arial" w:cs="Arial"/>
                <w:sz w:val="22"/>
                <w:szCs w:val="22"/>
                <w:lang w:val="el-GR"/>
              </w:rPr>
              <w:t xml:space="preserve">. 25, </w:t>
            </w:r>
            <w:r w:rsidRPr="00232B39">
              <w:rPr>
                <w:rFonts w:ascii="Arial" w:hAnsi="Arial" w:cs="Arial"/>
                <w:sz w:val="22"/>
                <w:szCs w:val="22"/>
              </w:rPr>
              <w:t>No</w:t>
            </w:r>
            <w:r w:rsidRPr="00232B39">
              <w:rPr>
                <w:rFonts w:ascii="Arial" w:hAnsi="Arial" w:cs="Arial"/>
                <w:sz w:val="22"/>
                <w:szCs w:val="22"/>
                <w:lang w:val="el-GR"/>
              </w:rPr>
              <w:t xml:space="preserve">. </w:t>
            </w:r>
            <w:r w:rsidRPr="00232B39">
              <w:rPr>
                <w:rFonts w:ascii="Arial" w:hAnsi="Arial" w:cs="Arial"/>
                <w:sz w:val="22"/>
                <w:szCs w:val="22"/>
                <w:lang w:val="el-GR"/>
              </w:rPr>
              <w:lastRenderedPageBreak/>
              <w:t xml:space="preserve">1, 2014, </w:t>
            </w:r>
            <w:r w:rsidRPr="00232B39">
              <w:rPr>
                <w:rFonts w:ascii="Arial" w:hAnsi="Arial" w:cs="Arial"/>
                <w:sz w:val="22"/>
                <w:szCs w:val="22"/>
              </w:rPr>
              <w:t>pp</w:t>
            </w:r>
            <w:r w:rsidRPr="00232B39">
              <w:rPr>
                <w:rFonts w:ascii="Arial" w:hAnsi="Arial" w:cs="Arial"/>
                <w:sz w:val="22"/>
                <w:szCs w:val="22"/>
                <w:lang w:val="el-GR"/>
              </w:rPr>
              <w:t>. 141-201</w:t>
            </w:r>
          </w:p>
          <w:p w:rsidR="0004086D" w:rsidRPr="00232B39" w:rsidRDefault="0004086D" w:rsidP="00573AE7">
            <w:pPr>
              <w:spacing w:after="100"/>
              <w:jc w:val="both"/>
              <w:rPr>
                <w:rFonts w:ascii="Arial" w:hAnsi="Arial" w:cs="Arial"/>
                <w:sz w:val="22"/>
                <w:szCs w:val="22"/>
              </w:rPr>
            </w:pPr>
            <w:r w:rsidRPr="00232B39">
              <w:rPr>
                <w:rFonts w:ascii="Arial" w:hAnsi="Arial" w:cs="Arial"/>
                <w:sz w:val="22"/>
                <w:szCs w:val="22"/>
              </w:rPr>
              <w:t xml:space="preserve">11) </w:t>
            </w:r>
            <w:proofErr w:type="spellStart"/>
            <w:r w:rsidR="00D30CC8" w:rsidRPr="00232B39">
              <w:rPr>
                <w:rStyle w:val="Hyperlink"/>
                <w:rFonts w:ascii="Arial" w:hAnsi="Arial" w:cs="Arial"/>
                <w:color w:val="auto"/>
                <w:sz w:val="22"/>
                <w:szCs w:val="22"/>
                <w:u w:val="none"/>
              </w:rPr>
              <w:t>Panagiotis</w:t>
            </w:r>
            <w:proofErr w:type="spellEnd"/>
            <w:r w:rsidR="00D30CC8" w:rsidRPr="00232B39">
              <w:rPr>
                <w:rStyle w:val="Hyperlink"/>
                <w:rFonts w:ascii="Arial" w:hAnsi="Arial" w:cs="Arial"/>
                <w:color w:val="auto"/>
                <w:sz w:val="22"/>
                <w:szCs w:val="22"/>
                <w:u w:val="none"/>
              </w:rPr>
              <w:t xml:space="preserve"> N </w:t>
            </w:r>
            <w:proofErr w:type="spellStart"/>
            <w:r w:rsidR="00D30CC8" w:rsidRPr="00232B39">
              <w:rPr>
                <w:rStyle w:val="Hyperlink"/>
                <w:rFonts w:ascii="Arial" w:hAnsi="Arial" w:cs="Arial"/>
                <w:color w:val="auto"/>
                <w:sz w:val="22"/>
                <w:szCs w:val="22"/>
                <w:u w:val="none"/>
              </w:rPr>
              <w:t>Fotis</w:t>
            </w:r>
            <w:proofErr w:type="spellEnd"/>
            <w:r w:rsidR="00D30CC8" w:rsidRPr="00232B39">
              <w:rPr>
                <w:rStyle w:val="Hyperlink"/>
                <w:rFonts w:ascii="Arial" w:hAnsi="Arial" w:cs="Arial"/>
                <w:color w:val="auto"/>
                <w:sz w:val="22"/>
                <w:szCs w:val="22"/>
                <w:u w:val="none"/>
              </w:rPr>
              <w:t xml:space="preserve">/Michael L </w:t>
            </w:r>
            <w:proofErr w:type="spellStart"/>
            <w:r w:rsidR="00D30CC8" w:rsidRPr="00232B39">
              <w:rPr>
                <w:rStyle w:val="Hyperlink"/>
                <w:rFonts w:ascii="Arial" w:hAnsi="Arial" w:cs="Arial"/>
                <w:color w:val="auto"/>
                <w:sz w:val="22"/>
                <w:szCs w:val="22"/>
                <w:u w:val="none"/>
              </w:rPr>
              <w:t>Polemis</w:t>
            </w:r>
            <w:proofErr w:type="spellEnd"/>
            <w:r w:rsidR="00D30CC8" w:rsidRPr="00232B39">
              <w:rPr>
                <w:rStyle w:val="Hyperlink"/>
                <w:rFonts w:ascii="Arial" w:hAnsi="Arial" w:cs="Arial"/>
                <w:color w:val="auto"/>
                <w:sz w:val="22"/>
                <w:szCs w:val="22"/>
                <w:u w:val="none"/>
              </w:rPr>
              <w:t>, The Use of Economic</w:t>
            </w:r>
            <w:r w:rsidRPr="00232B39">
              <w:rPr>
                <w:rStyle w:val="Hyperlink"/>
                <w:rFonts w:ascii="Arial" w:hAnsi="Arial" w:cs="Arial"/>
                <w:color w:val="auto"/>
                <w:sz w:val="22"/>
                <w:szCs w:val="22"/>
                <w:u w:val="none"/>
              </w:rPr>
              <w:t xml:space="preserve"> T</w:t>
            </w:r>
            <w:r w:rsidR="00D30CC8" w:rsidRPr="00232B39">
              <w:rPr>
                <w:rStyle w:val="Hyperlink"/>
                <w:rFonts w:ascii="Arial" w:hAnsi="Arial" w:cs="Arial"/>
                <w:color w:val="auto"/>
                <w:sz w:val="22"/>
                <w:szCs w:val="22"/>
                <w:u w:val="none"/>
              </w:rPr>
              <w:t>ools in Merger Analysis: Lessons From US and EU Experience</w:t>
            </w:r>
            <w:r w:rsidRPr="00232B39">
              <w:rPr>
                <w:rStyle w:val="Hyperlink"/>
                <w:rFonts w:ascii="Arial" w:hAnsi="Arial" w:cs="Arial"/>
                <w:color w:val="auto"/>
                <w:sz w:val="22"/>
                <w:szCs w:val="22"/>
                <w:u w:val="none"/>
              </w:rPr>
              <w:t>, 7(2) European Competition Journal 323 (2011)</w:t>
            </w:r>
          </w:p>
          <w:p w:rsidR="00573AE7" w:rsidRPr="00232B39" w:rsidRDefault="00D92732" w:rsidP="00573AE7">
            <w:pPr>
              <w:spacing w:after="100"/>
              <w:jc w:val="both"/>
              <w:rPr>
                <w:rFonts w:ascii="Arial" w:hAnsi="Arial" w:cs="Arial"/>
                <w:sz w:val="22"/>
                <w:szCs w:val="22"/>
                <w:lang w:val="el-GR"/>
              </w:rPr>
            </w:pPr>
            <w:r w:rsidRPr="00232B39">
              <w:rPr>
                <w:rFonts w:ascii="Arial" w:hAnsi="Arial" w:cs="Arial"/>
                <w:sz w:val="22"/>
                <w:szCs w:val="22"/>
                <w:lang w:val="el-GR"/>
              </w:rPr>
              <w:t xml:space="preserve">12) </w:t>
            </w:r>
            <w:r w:rsidR="00F61FBB" w:rsidRPr="00232B39">
              <w:rPr>
                <w:rFonts w:ascii="Arial" w:hAnsi="Arial" w:cs="Arial"/>
                <w:sz w:val="22"/>
                <w:szCs w:val="22"/>
                <w:lang w:val="el-GR"/>
              </w:rPr>
              <w:t>Γιώργος</w:t>
            </w:r>
            <w:r w:rsidRPr="00232B39">
              <w:rPr>
                <w:rFonts w:ascii="Arial" w:hAnsi="Arial" w:cs="Arial"/>
                <w:sz w:val="22"/>
                <w:szCs w:val="22"/>
                <w:lang w:val="el-GR"/>
              </w:rPr>
              <w:t>Καρύδη</w:t>
            </w:r>
            <w:r w:rsidR="00F61FBB" w:rsidRPr="00232B39">
              <w:rPr>
                <w:rFonts w:ascii="Arial" w:hAnsi="Arial" w:cs="Arial"/>
                <w:sz w:val="22"/>
                <w:szCs w:val="22"/>
                <w:lang w:val="el-GR"/>
              </w:rPr>
              <w:t>ς</w:t>
            </w:r>
            <w:r w:rsidRPr="00232B39">
              <w:rPr>
                <w:rFonts w:ascii="Arial" w:hAnsi="Arial" w:cs="Arial"/>
                <w:sz w:val="22"/>
                <w:szCs w:val="22"/>
                <w:lang w:val="el-GR"/>
              </w:rPr>
              <w:t>, Ευρωπαϊκό Δίκαιο Συναλλαγών, εκδόσεις Νομική Βιβλιοθήκη, Αθήνα 2012</w:t>
            </w:r>
          </w:p>
          <w:p w:rsidR="00D30CC8" w:rsidRPr="00232B39" w:rsidRDefault="00D30CC8" w:rsidP="00573AE7">
            <w:pPr>
              <w:spacing w:after="100"/>
              <w:jc w:val="both"/>
              <w:rPr>
                <w:rFonts w:ascii="Arial" w:hAnsi="Arial" w:cs="Arial"/>
                <w:sz w:val="22"/>
                <w:szCs w:val="22"/>
                <w:lang w:val="el-GR"/>
              </w:rPr>
            </w:pPr>
            <w:r w:rsidRPr="00232B39">
              <w:rPr>
                <w:rFonts w:ascii="Arial" w:hAnsi="Arial" w:cs="Arial"/>
                <w:sz w:val="22"/>
                <w:szCs w:val="22"/>
                <w:lang w:val="el-GR"/>
              </w:rPr>
              <w:t>13) Ιωάννης Παλαιολόγος/Μιχαήλ Πολέμης, Αξιολόγηση των επιδράσεων των συγχωνεύσεων και εξαγορών στο επίπεδο ανταγωνισμού, σε Τιμητικό Τόμο για τον Καθηγητή Παναγιώτη Ι. Κανελλόπουλο, εκδόσεις Σάκκουλα, Αθήνα – Θεσσαλονίκη 2015, σελ. 593 επ.</w:t>
            </w:r>
          </w:p>
          <w:p w:rsidR="00DB0570" w:rsidRPr="00232B39" w:rsidRDefault="00D30CC8" w:rsidP="00D30CC8">
            <w:pPr>
              <w:spacing w:after="100"/>
              <w:jc w:val="both"/>
              <w:rPr>
                <w:rFonts w:ascii="Arial" w:hAnsi="Arial" w:cs="Arial"/>
                <w:sz w:val="22"/>
                <w:szCs w:val="22"/>
                <w:lang w:val="el-GR"/>
              </w:rPr>
            </w:pPr>
            <w:r w:rsidRPr="00232B39">
              <w:rPr>
                <w:rFonts w:ascii="Arial" w:hAnsi="Arial" w:cs="Arial"/>
                <w:sz w:val="22"/>
                <w:szCs w:val="22"/>
                <w:lang w:val="el-GR"/>
              </w:rPr>
              <w:t>14) Μιχαήλ Λ. Πολέμης, Η οικονομική ανάλυση στην εξέταση συγχωνεύσεων και εξαγορών υπό το πρίσμα του δικαίου του ανταγωνισμού</w:t>
            </w:r>
            <w:r w:rsidR="008A180B" w:rsidRPr="00232B39">
              <w:rPr>
                <w:rFonts w:ascii="Arial" w:hAnsi="Arial" w:cs="Arial"/>
                <w:sz w:val="22"/>
                <w:szCs w:val="22"/>
                <w:lang w:val="el-GR"/>
              </w:rPr>
              <w:t>,  σε Τιμητικό Τόμο για τον Καθηγητή Παναγιώτη Ι. Κανελλόπουλο, εκδόσεις Σάκκουλα, Αθήνα – Θεσσαλονίκη 2015, σελ. 725 επ.</w:t>
            </w:r>
          </w:p>
          <w:p w:rsidR="00D30CC8" w:rsidRPr="00232B39" w:rsidRDefault="00DB0570" w:rsidP="00D30CC8">
            <w:pPr>
              <w:spacing w:after="100"/>
              <w:jc w:val="both"/>
              <w:rPr>
                <w:rFonts w:ascii="Arial" w:hAnsi="Arial" w:cs="Arial"/>
                <w:sz w:val="22"/>
                <w:szCs w:val="22"/>
              </w:rPr>
            </w:pPr>
            <w:r w:rsidRPr="00232B39">
              <w:rPr>
                <w:rFonts w:ascii="Arial" w:hAnsi="Arial" w:cs="Arial"/>
                <w:sz w:val="22"/>
                <w:szCs w:val="22"/>
              </w:rPr>
              <w:t xml:space="preserve">15) Ibáñez </w:t>
            </w:r>
            <w:proofErr w:type="spellStart"/>
            <w:r w:rsidRPr="00232B39">
              <w:rPr>
                <w:rFonts w:ascii="Arial" w:hAnsi="Arial" w:cs="Arial"/>
                <w:sz w:val="22"/>
                <w:szCs w:val="22"/>
              </w:rPr>
              <w:t>Colomo</w:t>
            </w:r>
            <w:proofErr w:type="spellEnd"/>
            <w:r w:rsidRPr="00232B39">
              <w:rPr>
                <w:rFonts w:ascii="Arial" w:hAnsi="Arial" w:cs="Arial"/>
                <w:sz w:val="22"/>
                <w:szCs w:val="22"/>
              </w:rPr>
              <w:t>, Pablo, (2012) Market failures, transaction costs and Article 101(1) TFEU case law. European Law Review, 37 (5). pp. 541-562.</w:t>
            </w:r>
          </w:p>
          <w:p w:rsidR="00D92732" w:rsidRPr="00232B39" w:rsidRDefault="00D92732" w:rsidP="00573AE7">
            <w:pPr>
              <w:spacing w:after="100"/>
              <w:jc w:val="both"/>
              <w:rPr>
                <w:rFonts w:ascii="Arial" w:hAnsi="Arial" w:cs="Arial"/>
                <w:sz w:val="22"/>
                <w:szCs w:val="22"/>
              </w:rPr>
            </w:pPr>
          </w:p>
          <w:p w:rsidR="00D92732" w:rsidRPr="00232B39" w:rsidRDefault="00D92732" w:rsidP="00573AE7">
            <w:pPr>
              <w:spacing w:after="100"/>
              <w:jc w:val="both"/>
              <w:rPr>
                <w:rFonts w:ascii="Arial" w:hAnsi="Arial" w:cs="Arial"/>
                <w:sz w:val="22"/>
                <w:szCs w:val="22"/>
              </w:rPr>
            </w:pPr>
          </w:p>
          <w:p w:rsidR="00573AE7" w:rsidRPr="00232B39" w:rsidRDefault="00573AE7" w:rsidP="00573AE7">
            <w:pPr>
              <w:spacing w:after="100"/>
              <w:jc w:val="both"/>
              <w:rPr>
                <w:rFonts w:ascii="Arial" w:hAnsi="Arial" w:cs="Arial"/>
                <w:sz w:val="22"/>
                <w:szCs w:val="22"/>
                <w:lang w:val="pt-BR"/>
              </w:rPr>
            </w:pPr>
            <w:r w:rsidRPr="00232B39">
              <w:rPr>
                <w:rFonts w:ascii="Arial" w:hAnsi="Arial" w:cs="Arial"/>
                <w:sz w:val="22"/>
                <w:szCs w:val="22"/>
                <w:lang w:val="pt-BR"/>
              </w:rPr>
              <w:t>A selection of relevant cases and other material:</w:t>
            </w:r>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T-139/98 AAMS [2001] ECR II-3413, </w:t>
            </w:r>
            <w:hyperlink r:id="rId5" w:history="1">
              <w:r w:rsidRPr="00232B39">
                <w:rPr>
                  <w:rStyle w:val="Hyperlink"/>
                  <w:rFonts w:ascii="Arial" w:hAnsi="Arial" w:cs="Arial"/>
                  <w:sz w:val="22"/>
                  <w:szCs w:val="22"/>
                </w:rPr>
                <w:t>http://curia.europa.eu/juris/liste.jsf?language=en&amp;num=T-139/98</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238/87 AB Volvo v [1988] ECR 6211, </w:t>
            </w:r>
            <w:hyperlink r:id="rId6" w:history="1">
              <w:r w:rsidRPr="00232B39">
                <w:rPr>
                  <w:rStyle w:val="Hyperlink"/>
                  <w:rFonts w:ascii="Arial" w:hAnsi="Arial" w:cs="Arial"/>
                  <w:sz w:val="22"/>
                  <w:szCs w:val="22"/>
                </w:rPr>
                <w:t>http://curia.europa.eu/juris/showPdf.jsf;jsessionid=9ea7d0f130d58ca3ced35c9e42e39909d29b32006377.e34KaxiLc3eQc40LaxqMbN4OchiOe0?text=&amp;docid=95470&amp;pageIndex=0&amp;doclang=EN&amp;mode=lst&amp;dir=&amp;occ=first&amp;part=1&amp;cid=105970</w:t>
              </w:r>
            </w:hyperlink>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t xml:space="preserve">Case T-128/98 Aéroports de Paris [2000] ECR II-3929, </w:t>
            </w:r>
            <w:hyperlink r:id="rId7" w:history="1">
              <w:r w:rsidRPr="00232B39">
                <w:rPr>
                  <w:rStyle w:val="Hyperlink"/>
                  <w:rFonts w:ascii="Arial" w:hAnsi="Arial" w:cs="Arial"/>
                  <w:sz w:val="22"/>
                  <w:szCs w:val="22"/>
                  <w:lang w:val="fr-FR"/>
                </w:rPr>
                <w:t>http://curia.europa.eu/juris/liste.jsf?language=en&amp;num=T-128/98</w:t>
              </w:r>
            </w:hyperlink>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t xml:space="preserve">Case C-62/86 AKZO </w:t>
            </w:r>
            <w:proofErr w:type="spellStart"/>
            <w:r w:rsidRPr="00232B39">
              <w:rPr>
                <w:rFonts w:ascii="Arial" w:hAnsi="Arial" w:cs="Arial"/>
                <w:sz w:val="22"/>
                <w:szCs w:val="22"/>
                <w:lang w:val="fr-FR"/>
              </w:rPr>
              <w:t>Chemie</w:t>
            </w:r>
            <w:proofErr w:type="spellEnd"/>
            <w:r w:rsidRPr="00232B39">
              <w:rPr>
                <w:rFonts w:ascii="Arial" w:hAnsi="Arial" w:cs="Arial"/>
                <w:sz w:val="22"/>
                <w:szCs w:val="22"/>
                <w:lang w:val="fr-FR"/>
              </w:rPr>
              <w:t xml:space="preserve"> [1991] ECR I-3359, </w:t>
            </w:r>
            <w:hyperlink r:id="rId8" w:history="1">
              <w:r w:rsidRPr="00232B39">
                <w:rPr>
                  <w:rStyle w:val="Hyperlink"/>
                  <w:rFonts w:ascii="Arial" w:hAnsi="Arial" w:cs="Arial"/>
                  <w:sz w:val="22"/>
                  <w:szCs w:val="22"/>
                  <w:lang w:val="fr-FR"/>
                </w:rPr>
                <w:t>http://curia.europa.eu/juris/liste.jsf?language=en&amp;jur=C,T,F&amp;num=62/86&amp;td=ALL</w:t>
              </w:r>
            </w:hyperlink>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t xml:space="preserve">Case 77/77 Benzine en </w:t>
            </w:r>
            <w:proofErr w:type="spellStart"/>
            <w:r w:rsidRPr="00232B39">
              <w:rPr>
                <w:rFonts w:ascii="Arial" w:hAnsi="Arial" w:cs="Arial"/>
                <w:sz w:val="22"/>
                <w:szCs w:val="22"/>
                <w:lang w:val="fr-FR"/>
              </w:rPr>
              <w:t>Petroleum</w:t>
            </w:r>
            <w:proofErr w:type="spellEnd"/>
            <w:r w:rsidRPr="00232B39">
              <w:rPr>
                <w:rFonts w:ascii="Arial" w:hAnsi="Arial" w:cs="Arial"/>
                <w:sz w:val="22"/>
                <w:szCs w:val="22"/>
                <w:lang w:val="fr-FR"/>
              </w:rPr>
              <w:t xml:space="preserve"> [1978] ECR 1513, </w:t>
            </w:r>
            <w:hyperlink r:id="rId9" w:history="1">
              <w:r w:rsidRPr="00232B39">
                <w:rPr>
                  <w:rStyle w:val="Hyperlink"/>
                  <w:rFonts w:ascii="Arial" w:hAnsi="Arial" w:cs="Arial"/>
                  <w:sz w:val="22"/>
                  <w:szCs w:val="22"/>
                  <w:lang w:val="fr-FR"/>
                </w:rPr>
                <w:t>http://eur-lex.europa.eu/legal-content/EN/TXT/?uri=CELEX%3A61977CJ0077</w:t>
              </w:r>
            </w:hyperlink>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t xml:space="preserve">Case T-65/89 British </w:t>
            </w:r>
            <w:proofErr w:type="spellStart"/>
            <w:r w:rsidRPr="00232B39">
              <w:rPr>
                <w:rFonts w:ascii="Arial" w:hAnsi="Arial" w:cs="Arial"/>
                <w:sz w:val="22"/>
                <w:szCs w:val="22"/>
                <w:lang w:val="fr-FR"/>
              </w:rPr>
              <w:t>Gypsum</w:t>
            </w:r>
            <w:proofErr w:type="spellEnd"/>
            <w:r w:rsidRPr="00232B39">
              <w:rPr>
                <w:rFonts w:ascii="Arial" w:hAnsi="Arial" w:cs="Arial"/>
                <w:sz w:val="22"/>
                <w:szCs w:val="22"/>
                <w:lang w:val="fr-FR"/>
              </w:rPr>
              <w:t xml:space="preserve"> [1993] ECR II-389, </w:t>
            </w:r>
            <w:hyperlink r:id="rId10" w:history="1">
              <w:r w:rsidRPr="00232B39">
                <w:rPr>
                  <w:rStyle w:val="Hyperlink"/>
                  <w:rFonts w:ascii="Arial" w:hAnsi="Arial" w:cs="Arial"/>
                  <w:sz w:val="22"/>
                  <w:szCs w:val="22"/>
                  <w:lang w:val="fr-FR"/>
                </w:rPr>
                <w:t>http://curia.europa.eu/juris/showPdf.jsf?docid=102685&amp;doclang=en</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T-219/99 British Airways plc v Commission [2003] ECR II-5917, </w:t>
            </w:r>
            <w:hyperlink r:id="rId11" w:history="1">
              <w:r w:rsidRPr="00232B39">
                <w:rPr>
                  <w:rStyle w:val="Hyperlink"/>
                  <w:rFonts w:ascii="Arial" w:hAnsi="Arial" w:cs="Arial"/>
                  <w:sz w:val="22"/>
                  <w:szCs w:val="22"/>
                </w:rPr>
                <w:t>http://curia.europa.eu/juris/showPdf.jsf?docid=71884&amp;doclang=EN</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C-95/04 P, British Airways [2007] ECR I-2331, </w:t>
            </w:r>
            <w:hyperlink r:id="rId12" w:history="1">
              <w:r w:rsidRPr="00232B39">
                <w:rPr>
                  <w:rStyle w:val="Hyperlink"/>
                  <w:rFonts w:ascii="Arial" w:hAnsi="Arial" w:cs="Arial"/>
                  <w:sz w:val="22"/>
                  <w:szCs w:val="22"/>
                </w:rPr>
                <w:t>http://curia.europa.eu/juris/showPdf.jsf;jsessionid=9ea7d2dc30db6cd9f6d3f7744c0c993cdc951b9f1d75.e34KaxiLc3qMb40Rch0SaxuLbx10?text=&amp;docid=62071&amp;pageIndex=0&amp;doclang=EN&amp;mode=lst&amp;dir=&amp;occ=first&amp;part=1&amp;cid=73323</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Case 311/84 CBEM v CLT and IBP (</w:t>
            </w:r>
            <w:proofErr w:type="spellStart"/>
            <w:r w:rsidRPr="00232B39">
              <w:rPr>
                <w:rFonts w:ascii="Arial" w:hAnsi="Arial" w:cs="Arial"/>
                <w:sz w:val="22"/>
                <w:szCs w:val="22"/>
              </w:rPr>
              <w:t>Télé</w:t>
            </w:r>
            <w:proofErr w:type="spellEnd"/>
            <w:r w:rsidRPr="00232B39">
              <w:rPr>
                <w:rFonts w:ascii="Arial" w:hAnsi="Arial" w:cs="Arial"/>
                <w:sz w:val="22"/>
                <w:szCs w:val="22"/>
              </w:rPr>
              <w:t xml:space="preserve">-Marketing) [1985] ECR 3261, </w:t>
            </w:r>
            <w:hyperlink r:id="rId13" w:history="1">
              <w:r w:rsidRPr="00232B39">
                <w:rPr>
                  <w:rStyle w:val="Hyperlink"/>
                  <w:rFonts w:ascii="Arial" w:hAnsi="Arial" w:cs="Arial"/>
                  <w:sz w:val="22"/>
                  <w:szCs w:val="22"/>
                </w:rPr>
                <w:t>http://eur-lex.europa.eu/legal-content/EN/TXT/?uri=CELEX%3A61984CJ0311</w:t>
              </w:r>
            </w:hyperlink>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t xml:space="preserve">Case 283/81 CILFIT v </w:t>
            </w:r>
            <w:proofErr w:type="spellStart"/>
            <w:r w:rsidRPr="00232B39">
              <w:rPr>
                <w:rFonts w:ascii="Arial" w:hAnsi="Arial" w:cs="Arial"/>
                <w:sz w:val="22"/>
                <w:szCs w:val="22"/>
                <w:lang w:val="fr-FR"/>
              </w:rPr>
              <w:t>Ministére</w:t>
            </w:r>
            <w:proofErr w:type="spellEnd"/>
            <w:r w:rsidRPr="00232B39">
              <w:rPr>
                <w:rFonts w:ascii="Arial" w:hAnsi="Arial" w:cs="Arial"/>
                <w:sz w:val="22"/>
                <w:szCs w:val="22"/>
                <w:lang w:val="fr-FR"/>
              </w:rPr>
              <w:t xml:space="preserve"> de la santé [1982] ECR 3415, </w:t>
            </w:r>
            <w:hyperlink r:id="rId14" w:history="1">
              <w:r w:rsidRPr="00232B39">
                <w:rPr>
                  <w:rStyle w:val="Hyperlink"/>
                  <w:rFonts w:ascii="Arial" w:hAnsi="Arial" w:cs="Arial"/>
                  <w:sz w:val="22"/>
                  <w:szCs w:val="22"/>
                  <w:lang w:val="fr-FR"/>
                </w:rPr>
                <w:t>http://eur-lex.europa.eu/legal-content/EL/TXT/?uri=CELEX%3A61981CJ0283</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T-301/04 </w:t>
            </w:r>
            <w:proofErr w:type="spellStart"/>
            <w:r w:rsidRPr="00232B39">
              <w:rPr>
                <w:rFonts w:ascii="Arial" w:hAnsi="Arial" w:cs="Arial"/>
                <w:sz w:val="22"/>
                <w:szCs w:val="22"/>
              </w:rPr>
              <w:t>Clearstream</w:t>
            </w:r>
            <w:proofErr w:type="spellEnd"/>
            <w:r w:rsidRPr="00232B39">
              <w:rPr>
                <w:rFonts w:ascii="Arial" w:hAnsi="Arial" w:cs="Arial"/>
                <w:sz w:val="22"/>
                <w:szCs w:val="22"/>
              </w:rPr>
              <w:t xml:space="preserve"> [2009] ECR II-3155, </w:t>
            </w:r>
            <w:hyperlink r:id="rId15" w:history="1">
              <w:r w:rsidRPr="00232B39">
                <w:rPr>
                  <w:rStyle w:val="Hyperlink"/>
                  <w:rFonts w:ascii="Arial" w:hAnsi="Arial" w:cs="Arial"/>
                  <w:sz w:val="22"/>
                  <w:szCs w:val="22"/>
                </w:rPr>
                <w:t>http://curia.europa.eu/juris/liste.jsf?language=en&amp;num=T-301/04</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lastRenderedPageBreak/>
              <w:t xml:space="preserve">Joined Cases T-24/93 to T-26/93 and T-28/93 </w:t>
            </w:r>
            <w:proofErr w:type="spellStart"/>
            <w:r w:rsidRPr="00232B39">
              <w:rPr>
                <w:rFonts w:ascii="Arial" w:hAnsi="Arial" w:cs="Arial"/>
                <w:sz w:val="22"/>
                <w:szCs w:val="22"/>
              </w:rPr>
              <w:t>Compagnie</w:t>
            </w:r>
            <w:proofErr w:type="spellEnd"/>
            <w:r w:rsidRPr="00232B39">
              <w:rPr>
                <w:rFonts w:ascii="Arial" w:hAnsi="Arial" w:cs="Arial"/>
                <w:sz w:val="22"/>
                <w:szCs w:val="22"/>
              </w:rPr>
              <w:t xml:space="preserve"> Maritime </w:t>
            </w:r>
            <w:proofErr w:type="spellStart"/>
            <w:r w:rsidRPr="00232B39">
              <w:rPr>
                <w:rFonts w:ascii="Arial" w:hAnsi="Arial" w:cs="Arial"/>
                <w:sz w:val="22"/>
                <w:szCs w:val="22"/>
              </w:rPr>
              <w:t>Belge</w:t>
            </w:r>
            <w:proofErr w:type="spellEnd"/>
            <w:r w:rsidRPr="00232B39">
              <w:rPr>
                <w:rFonts w:ascii="Arial" w:hAnsi="Arial" w:cs="Arial"/>
                <w:sz w:val="22"/>
                <w:szCs w:val="22"/>
              </w:rPr>
              <w:t xml:space="preserve"> [1996] ECR II-1201, </w:t>
            </w:r>
            <w:hyperlink r:id="rId16" w:history="1">
              <w:r w:rsidRPr="00232B39">
                <w:rPr>
                  <w:rStyle w:val="Hyperlink"/>
                  <w:rFonts w:ascii="Arial" w:hAnsi="Arial" w:cs="Arial"/>
                  <w:sz w:val="22"/>
                  <w:szCs w:val="22"/>
                </w:rPr>
                <w:t>http://curia.europa.eu/juris/liste.jsf?num=T-24/93&amp;language=en</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Joined cases 40/73 et al, </w:t>
            </w:r>
            <w:proofErr w:type="spellStart"/>
            <w:r w:rsidRPr="00232B39">
              <w:rPr>
                <w:rFonts w:ascii="Arial" w:hAnsi="Arial" w:cs="Arial"/>
                <w:sz w:val="22"/>
                <w:szCs w:val="22"/>
              </w:rPr>
              <w:t>SuikerUnie</w:t>
            </w:r>
            <w:proofErr w:type="spellEnd"/>
            <w:r w:rsidRPr="00232B39">
              <w:rPr>
                <w:rFonts w:ascii="Arial" w:hAnsi="Arial" w:cs="Arial"/>
                <w:sz w:val="22"/>
                <w:szCs w:val="22"/>
              </w:rPr>
              <w:t xml:space="preserve"> [1975] ECR 1663, </w:t>
            </w:r>
            <w:hyperlink r:id="rId17" w:history="1">
              <w:r w:rsidRPr="00232B39">
                <w:rPr>
                  <w:rStyle w:val="Hyperlink"/>
                  <w:rFonts w:ascii="Arial" w:hAnsi="Arial" w:cs="Arial"/>
                  <w:sz w:val="22"/>
                  <w:szCs w:val="22"/>
                </w:rPr>
                <w:t>http://eur-lex.europa.eu/legal-content/DA/TXT/?uri=CELEX:61973CJ0040</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T-229/94 Deutsche </w:t>
            </w:r>
            <w:proofErr w:type="spellStart"/>
            <w:r w:rsidRPr="00232B39">
              <w:rPr>
                <w:rFonts w:ascii="Arial" w:hAnsi="Arial" w:cs="Arial"/>
                <w:sz w:val="22"/>
                <w:szCs w:val="22"/>
              </w:rPr>
              <w:t>Bahn</w:t>
            </w:r>
            <w:proofErr w:type="spellEnd"/>
            <w:r w:rsidRPr="00232B39">
              <w:rPr>
                <w:rFonts w:ascii="Arial" w:hAnsi="Arial" w:cs="Arial"/>
                <w:sz w:val="22"/>
                <w:szCs w:val="22"/>
              </w:rPr>
              <w:t xml:space="preserve"> [1997] ECR II-1689, </w:t>
            </w:r>
            <w:hyperlink r:id="rId18" w:history="1">
              <w:r w:rsidRPr="00232B39">
                <w:rPr>
                  <w:rStyle w:val="Hyperlink"/>
                  <w:rFonts w:ascii="Arial" w:hAnsi="Arial" w:cs="Arial"/>
                  <w:sz w:val="22"/>
                  <w:szCs w:val="22"/>
                </w:rPr>
                <w:t>http://eur-lex.europa.eu/legal-content/EN/TXT/?uri=CELEX%3A61994TJ0229</w:t>
              </w:r>
            </w:hyperlink>
          </w:p>
          <w:p w:rsidR="0004086D" w:rsidRPr="00232B39" w:rsidRDefault="0004086D" w:rsidP="0004086D">
            <w:pPr>
              <w:jc w:val="both"/>
              <w:rPr>
                <w:rFonts w:ascii="Arial" w:hAnsi="Arial" w:cs="Arial"/>
                <w:sz w:val="22"/>
                <w:szCs w:val="22"/>
                <w:lang w:val="de-DE"/>
              </w:rPr>
            </w:pPr>
            <w:r w:rsidRPr="00232B39">
              <w:rPr>
                <w:rFonts w:ascii="Arial" w:hAnsi="Arial" w:cs="Arial"/>
                <w:sz w:val="22"/>
                <w:szCs w:val="22"/>
                <w:lang w:val="de-DE"/>
              </w:rPr>
              <w:t xml:space="preserve">Case T-271/03 Deutsche Telekom v Commission [2008] ECR II-477, </w:t>
            </w:r>
            <w:r w:rsidR="00C26E20" w:rsidRPr="00232B39">
              <w:rPr>
                <w:rFonts w:ascii="Arial" w:hAnsi="Arial" w:cs="Arial"/>
                <w:sz w:val="22"/>
                <w:szCs w:val="22"/>
              </w:rPr>
              <w:fldChar w:fldCharType="begin"/>
            </w:r>
            <w:r w:rsidR="00C26E20" w:rsidRPr="00232B39">
              <w:rPr>
                <w:rFonts w:ascii="Arial" w:hAnsi="Arial" w:cs="Arial"/>
                <w:sz w:val="22"/>
                <w:szCs w:val="22"/>
              </w:rPr>
              <w:instrText>HYPERLINK "http://curia.europa.eu/juris/liste.jsf?language=en&amp;num=T-271/03"</w:instrText>
            </w:r>
            <w:r w:rsidR="00C26E20" w:rsidRPr="00232B39">
              <w:rPr>
                <w:rFonts w:ascii="Arial" w:hAnsi="Arial" w:cs="Arial"/>
                <w:sz w:val="22"/>
                <w:szCs w:val="22"/>
              </w:rPr>
              <w:fldChar w:fldCharType="separate"/>
            </w:r>
            <w:r w:rsidRPr="00232B39">
              <w:rPr>
                <w:rStyle w:val="Hyperlink"/>
                <w:rFonts w:ascii="Arial" w:hAnsi="Arial" w:cs="Arial"/>
                <w:sz w:val="22"/>
                <w:szCs w:val="22"/>
                <w:lang w:val="de-DE"/>
              </w:rPr>
              <w:t>http://curia.europa.eu/juris/liste.jsf?language=en&amp;num=T-271/03</w:t>
            </w:r>
            <w:r w:rsidR="00C26E20" w:rsidRPr="00232B39">
              <w:rPr>
                <w:rFonts w:ascii="Arial" w:hAnsi="Arial" w:cs="Arial"/>
                <w:sz w:val="22"/>
                <w:szCs w:val="22"/>
              </w:rPr>
              <w:fldChar w:fldCharType="end"/>
            </w:r>
          </w:p>
          <w:p w:rsidR="0004086D" w:rsidRPr="00232B39" w:rsidRDefault="0004086D" w:rsidP="0004086D">
            <w:pPr>
              <w:jc w:val="both"/>
              <w:rPr>
                <w:rFonts w:ascii="Arial" w:hAnsi="Arial" w:cs="Arial"/>
                <w:sz w:val="22"/>
                <w:szCs w:val="22"/>
                <w:lang w:val="de-DE"/>
              </w:rPr>
            </w:pPr>
            <w:r w:rsidRPr="00232B39">
              <w:rPr>
                <w:rFonts w:ascii="Arial" w:hAnsi="Arial" w:cs="Arial"/>
                <w:sz w:val="22"/>
                <w:szCs w:val="22"/>
                <w:lang w:val="de-DE"/>
              </w:rPr>
              <w:t xml:space="preserve">Joined Cases T 374/94, T-375/94, T-384/94 and T-388/94 European Night Services [1998] ECR II-3141, </w:t>
            </w:r>
            <w:r w:rsidR="00C26E20" w:rsidRPr="00232B39">
              <w:rPr>
                <w:rFonts w:ascii="Arial" w:hAnsi="Arial" w:cs="Arial"/>
                <w:sz w:val="22"/>
                <w:szCs w:val="22"/>
              </w:rPr>
              <w:fldChar w:fldCharType="begin"/>
            </w:r>
            <w:r w:rsidR="00C26E20" w:rsidRPr="00232B39">
              <w:rPr>
                <w:rFonts w:ascii="Arial" w:hAnsi="Arial" w:cs="Arial"/>
                <w:sz w:val="22"/>
                <w:szCs w:val="22"/>
                <w:lang w:val="de-DE"/>
              </w:rPr>
              <w:instrText>HYPERLINK "http://curia.europa.eu/juris/liste.jsf?language=en&amp;num=T-374/94"</w:instrText>
            </w:r>
            <w:r w:rsidR="00C26E20" w:rsidRPr="00232B39">
              <w:rPr>
                <w:rFonts w:ascii="Arial" w:hAnsi="Arial" w:cs="Arial"/>
                <w:sz w:val="22"/>
                <w:szCs w:val="22"/>
              </w:rPr>
              <w:fldChar w:fldCharType="separate"/>
            </w:r>
            <w:r w:rsidRPr="00232B39">
              <w:rPr>
                <w:rStyle w:val="Hyperlink"/>
                <w:rFonts w:ascii="Arial" w:hAnsi="Arial" w:cs="Arial"/>
                <w:sz w:val="22"/>
                <w:szCs w:val="22"/>
                <w:lang w:val="de-DE"/>
              </w:rPr>
              <w:t>http://curia.europa.eu/juris/liste.jsf?language=en&amp;num=T-374/94</w:t>
            </w:r>
            <w:r w:rsidR="00C26E20" w:rsidRPr="00232B39">
              <w:rPr>
                <w:rFonts w:ascii="Arial" w:hAnsi="Arial" w:cs="Arial"/>
                <w:sz w:val="22"/>
                <w:szCs w:val="22"/>
              </w:rPr>
              <w:fldChar w:fldCharType="end"/>
            </w:r>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6/72 Continental Can [1973] ECR 215, </w:t>
            </w:r>
            <w:hyperlink r:id="rId19" w:history="1">
              <w:r w:rsidRPr="00232B39">
                <w:rPr>
                  <w:rStyle w:val="Hyperlink"/>
                  <w:rFonts w:ascii="Arial" w:hAnsi="Arial" w:cs="Arial"/>
                  <w:sz w:val="22"/>
                  <w:szCs w:val="22"/>
                </w:rPr>
                <w:t>http://curia.europa.eu/juris/liste.jsf?language=en&amp;jur=C,T,F&amp;num=6-72&amp;td=ALL</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T-340/03 France </w:t>
            </w:r>
            <w:proofErr w:type="spellStart"/>
            <w:r w:rsidRPr="00232B39">
              <w:rPr>
                <w:rFonts w:ascii="Arial" w:hAnsi="Arial" w:cs="Arial"/>
                <w:sz w:val="22"/>
                <w:szCs w:val="22"/>
              </w:rPr>
              <w:t>Télécom</w:t>
            </w:r>
            <w:proofErr w:type="spellEnd"/>
            <w:r w:rsidRPr="00232B39">
              <w:rPr>
                <w:rFonts w:ascii="Arial" w:hAnsi="Arial" w:cs="Arial"/>
                <w:sz w:val="22"/>
                <w:szCs w:val="22"/>
              </w:rPr>
              <w:t xml:space="preserve"> (</w:t>
            </w:r>
            <w:proofErr w:type="spellStart"/>
            <w:r w:rsidRPr="00232B39">
              <w:rPr>
                <w:rFonts w:ascii="Arial" w:hAnsi="Arial" w:cs="Arial"/>
                <w:sz w:val="22"/>
                <w:szCs w:val="22"/>
              </w:rPr>
              <w:t>Wanadoo</w:t>
            </w:r>
            <w:proofErr w:type="spellEnd"/>
            <w:r w:rsidRPr="00232B39">
              <w:rPr>
                <w:rFonts w:ascii="Arial" w:hAnsi="Arial" w:cs="Arial"/>
                <w:sz w:val="22"/>
                <w:szCs w:val="22"/>
              </w:rPr>
              <w:t xml:space="preserve">) [2007] ECR II-107, </w:t>
            </w:r>
            <w:hyperlink r:id="rId20" w:history="1">
              <w:r w:rsidRPr="00232B39">
                <w:rPr>
                  <w:rStyle w:val="Hyperlink"/>
                  <w:rFonts w:ascii="Arial" w:hAnsi="Arial" w:cs="Arial"/>
                  <w:sz w:val="22"/>
                  <w:szCs w:val="22"/>
                </w:rPr>
                <w:t>http://eur-lex.europa.eu/legal-content/EN/TXT/?uri=CELEX%3A62003TJ0340</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C-202/07 P, France </w:t>
            </w:r>
            <w:proofErr w:type="spellStart"/>
            <w:r w:rsidRPr="00232B39">
              <w:rPr>
                <w:rFonts w:ascii="Arial" w:hAnsi="Arial" w:cs="Arial"/>
                <w:sz w:val="22"/>
                <w:szCs w:val="22"/>
              </w:rPr>
              <w:t>Télécom</w:t>
            </w:r>
            <w:proofErr w:type="spellEnd"/>
            <w:r w:rsidRPr="00232B39">
              <w:rPr>
                <w:rFonts w:ascii="Arial" w:hAnsi="Arial" w:cs="Arial"/>
                <w:sz w:val="22"/>
                <w:szCs w:val="22"/>
              </w:rPr>
              <w:t xml:space="preserve"> (</w:t>
            </w:r>
            <w:proofErr w:type="spellStart"/>
            <w:r w:rsidRPr="00232B39">
              <w:rPr>
                <w:rFonts w:ascii="Arial" w:hAnsi="Arial" w:cs="Arial"/>
                <w:sz w:val="22"/>
                <w:szCs w:val="22"/>
              </w:rPr>
              <w:t>Wanadoo</w:t>
            </w:r>
            <w:proofErr w:type="spellEnd"/>
            <w:r w:rsidRPr="00232B39">
              <w:rPr>
                <w:rFonts w:ascii="Arial" w:hAnsi="Arial" w:cs="Arial"/>
                <w:sz w:val="22"/>
                <w:szCs w:val="22"/>
              </w:rPr>
              <w:t xml:space="preserve">) [2009] I-02369, </w:t>
            </w:r>
            <w:hyperlink r:id="rId21" w:history="1">
              <w:r w:rsidRPr="00232B39">
                <w:rPr>
                  <w:rStyle w:val="Hyperlink"/>
                  <w:rFonts w:ascii="Arial" w:hAnsi="Arial" w:cs="Arial"/>
                  <w:sz w:val="22"/>
                  <w:szCs w:val="22"/>
                </w:rPr>
                <w:t>http://curia.europa.eu/juris/liste.jsf?language=en&amp;num=C-202/07</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C-250/92 </w:t>
            </w:r>
            <w:proofErr w:type="spellStart"/>
            <w:r w:rsidRPr="00232B39">
              <w:rPr>
                <w:rFonts w:ascii="Arial" w:hAnsi="Arial" w:cs="Arial"/>
                <w:sz w:val="22"/>
                <w:szCs w:val="22"/>
              </w:rPr>
              <w:t>Gottrup-Klim</w:t>
            </w:r>
            <w:proofErr w:type="spellEnd"/>
            <w:r w:rsidRPr="00232B39">
              <w:rPr>
                <w:rFonts w:ascii="Arial" w:hAnsi="Arial" w:cs="Arial"/>
                <w:sz w:val="22"/>
                <w:szCs w:val="22"/>
              </w:rPr>
              <w:t xml:space="preserve"> [1994] ECR I-5641, </w:t>
            </w:r>
            <w:hyperlink r:id="rId22" w:history="1">
              <w:r w:rsidRPr="00232B39">
                <w:rPr>
                  <w:rStyle w:val="Hyperlink"/>
                  <w:rFonts w:ascii="Arial" w:hAnsi="Arial" w:cs="Arial"/>
                  <w:sz w:val="22"/>
                  <w:szCs w:val="22"/>
                </w:rPr>
                <w:t>http://eur-lex.europa.eu/legal-content/EN/TXT/?uri=CELEX%3A61992CJ0250</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T-30/89 </w:t>
            </w:r>
            <w:proofErr w:type="spellStart"/>
            <w:r w:rsidRPr="00232B39">
              <w:rPr>
                <w:rFonts w:ascii="Arial" w:hAnsi="Arial" w:cs="Arial"/>
                <w:sz w:val="22"/>
                <w:szCs w:val="22"/>
              </w:rPr>
              <w:t>Hilti</w:t>
            </w:r>
            <w:proofErr w:type="spellEnd"/>
            <w:r w:rsidRPr="00232B39">
              <w:rPr>
                <w:rFonts w:ascii="Arial" w:hAnsi="Arial" w:cs="Arial"/>
                <w:sz w:val="22"/>
                <w:szCs w:val="22"/>
              </w:rPr>
              <w:t xml:space="preserve"> [1991] ECR II-1439, </w:t>
            </w:r>
            <w:hyperlink r:id="rId23" w:history="1">
              <w:r w:rsidRPr="00232B39">
                <w:rPr>
                  <w:rStyle w:val="Hyperlink"/>
                  <w:rFonts w:ascii="Arial" w:hAnsi="Arial" w:cs="Arial"/>
                  <w:sz w:val="22"/>
                  <w:szCs w:val="22"/>
                </w:rPr>
                <w:t>http://curia.europa.eu/juris/liste.jsf?language=en&amp;jur=C,T,F&amp;num=T-30/89&amp;td=ALL</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85/76 Hoffmann-La Roche (1979] ECR 461, </w:t>
            </w:r>
            <w:hyperlink r:id="rId24" w:history="1">
              <w:r w:rsidRPr="00232B39">
                <w:rPr>
                  <w:rStyle w:val="Hyperlink"/>
                  <w:rFonts w:ascii="Arial" w:hAnsi="Arial" w:cs="Arial"/>
                  <w:sz w:val="22"/>
                  <w:szCs w:val="22"/>
                </w:rPr>
                <w:t>http://eur-lex.europa.eu/legal-content/EN/ALL/?uri=CELEX%3A61976CC0085</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Joined Cases 6/73 and 7/73 ICI and Commercial Solvents [1974] ECR 223, </w:t>
            </w:r>
            <w:hyperlink r:id="rId25" w:history="1">
              <w:r w:rsidRPr="00232B39">
                <w:rPr>
                  <w:rStyle w:val="Hyperlink"/>
                  <w:rFonts w:ascii="Arial" w:hAnsi="Arial" w:cs="Arial"/>
                  <w:sz w:val="22"/>
                  <w:szCs w:val="22"/>
                </w:rPr>
                <w:t>http://eur-lex.europa.eu/legal-content/EN/TXT/?uri=CELEX%3A61973CJ0006</w:t>
              </w:r>
            </w:hyperlink>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t xml:space="preserve">Case T-66/01 ICI [2010] ECR II-2631, </w:t>
            </w:r>
            <w:hyperlink r:id="rId26" w:history="1">
              <w:r w:rsidRPr="00232B39">
                <w:rPr>
                  <w:rStyle w:val="Hyperlink"/>
                  <w:rFonts w:ascii="Arial" w:hAnsi="Arial" w:cs="Arial"/>
                  <w:sz w:val="22"/>
                  <w:szCs w:val="22"/>
                  <w:lang w:val="fr-FR"/>
                </w:rPr>
                <w:t>http://eur-lex.europa.eu/legal-content/EN/TXT/?uri=CELEX%3A62001TJ0066</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C-418/01 IMS Health [2004] ECR I-5039, </w:t>
            </w:r>
            <w:hyperlink r:id="rId27" w:history="1">
              <w:r w:rsidRPr="00232B39">
                <w:rPr>
                  <w:rStyle w:val="Hyperlink"/>
                  <w:rFonts w:ascii="Arial" w:hAnsi="Arial" w:cs="Arial"/>
                  <w:sz w:val="22"/>
                  <w:szCs w:val="22"/>
                </w:rPr>
                <w:t>http://curia.europa.eu/juris/liste.jsf?num=C-418/01</w:t>
              </w:r>
            </w:hyperlink>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t xml:space="preserve">Case T-5/97 Industrie des Poudres Sphériques [2000] ECR II-3755, </w:t>
            </w:r>
            <w:hyperlink r:id="rId28" w:history="1">
              <w:r w:rsidRPr="00232B39">
                <w:rPr>
                  <w:rStyle w:val="Hyperlink"/>
                  <w:rFonts w:ascii="Arial" w:hAnsi="Arial" w:cs="Arial"/>
                  <w:sz w:val="22"/>
                  <w:szCs w:val="22"/>
                  <w:lang w:val="fr-FR"/>
                </w:rPr>
                <w:t>http://eur-lex.europa.eu/legal-content/EN/TXT/?uri=CELEX%3A61997TJ0005</w:t>
              </w:r>
            </w:hyperlink>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t xml:space="preserve">Case T-286/09 Intel </w:t>
            </w:r>
            <w:proofErr w:type="spellStart"/>
            <w:r w:rsidRPr="00232B39">
              <w:rPr>
                <w:rFonts w:ascii="Arial" w:hAnsi="Arial" w:cs="Arial"/>
                <w:sz w:val="22"/>
                <w:szCs w:val="22"/>
                <w:lang w:val="fr-FR"/>
              </w:rPr>
              <w:t>Corp</w:t>
            </w:r>
            <w:proofErr w:type="spellEnd"/>
            <w:r w:rsidRPr="00232B39">
              <w:rPr>
                <w:rFonts w:ascii="Arial" w:hAnsi="Arial" w:cs="Arial"/>
                <w:sz w:val="22"/>
                <w:szCs w:val="22"/>
                <w:lang w:val="fr-FR"/>
              </w:rPr>
              <w:t xml:space="preserve"> v Commission (2014), </w:t>
            </w:r>
            <w:hyperlink r:id="rId29" w:history="1">
              <w:r w:rsidRPr="00232B39">
                <w:rPr>
                  <w:rStyle w:val="Hyperlink"/>
                  <w:rFonts w:ascii="Arial" w:hAnsi="Arial" w:cs="Arial"/>
                  <w:sz w:val="22"/>
                  <w:szCs w:val="22"/>
                  <w:lang w:val="fr-FR"/>
                </w:rPr>
                <w:t>http://curia.europa.eu/juris/liste.jsf?num=T-286/09</w:t>
              </w:r>
            </w:hyperlink>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t xml:space="preserve">Case T-228/97 Irish </w:t>
            </w:r>
            <w:proofErr w:type="spellStart"/>
            <w:r w:rsidRPr="00232B39">
              <w:rPr>
                <w:rFonts w:ascii="Arial" w:hAnsi="Arial" w:cs="Arial"/>
                <w:sz w:val="22"/>
                <w:szCs w:val="22"/>
                <w:lang w:val="fr-FR"/>
              </w:rPr>
              <w:t>Sugar</w:t>
            </w:r>
            <w:proofErr w:type="spellEnd"/>
            <w:r w:rsidRPr="00232B39">
              <w:rPr>
                <w:rFonts w:ascii="Arial" w:hAnsi="Arial" w:cs="Arial"/>
                <w:sz w:val="22"/>
                <w:szCs w:val="22"/>
                <w:lang w:val="fr-FR"/>
              </w:rPr>
              <w:t xml:space="preserve"> [1999] ECR II-2969, </w:t>
            </w:r>
            <w:hyperlink r:id="rId30" w:history="1">
              <w:r w:rsidRPr="00232B39">
                <w:rPr>
                  <w:rStyle w:val="Hyperlink"/>
                  <w:rFonts w:ascii="Arial" w:hAnsi="Arial" w:cs="Arial"/>
                  <w:sz w:val="22"/>
                  <w:szCs w:val="22"/>
                  <w:lang w:val="fr-FR"/>
                </w:rPr>
                <w:t>http://curia.europa.eu/juris/liste.jsf?pro=&amp;nat=or&amp;oqp=&amp;dates=&amp;lg=&amp;language=el&amp;jur=C%2CT%2CF&amp;cit=none%252CC%252CCJ%252CR%252C2008E%252C%252C%252C%252C%252C%252C%252C%252C%252C%252Ctrue%252Cfalse%252Cfalse&amp;num=T-228%252F97&amp;td=%3BALL&amp;pcs=Oor&amp;avg=&amp;page=1&amp;mat=or&amp;jge=&amp;for=&amp;cid=327970</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Joined Cases C-267/91 and C-268/91 Keck and </w:t>
            </w:r>
            <w:proofErr w:type="spellStart"/>
            <w:r w:rsidRPr="00232B39">
              <w:rPr>
                <w:rFonts w:ascii="Arial" w:hAnsi="Arial" w:cs="Arial"/>
                <w:sz w:val="22"/>
                <w:szCs w:val="22"/>
              </w:rPr>
              <w:t>Mithouard</w:t>
            </w:r>
            <w:proofErr w:type="spellEnd"/>
            <w:r w:rsidRPr="00232B39">
              <w:rPr>
                <w:rFonts w:ascii="Arial" w:hAnsi="Arial" w:cs="Arial"/>
                <w:sz w:val="22"/>
                <w:szCs w:val="22"/>
              </w:rPr>
              <w:t xml:space="preserve"> [1993] ECR 1-6097, </w:t>
            </w:r>
            <w:hyperlink r:id="rId31" w:history="1">
              <w:r w:rsidRPr="00232B39">
                <w:rPr>
                  <w:rStyle w:val="Hyperlink"/>
                  <w:rFonts w:ascii="Arial" w:hAnsi="Arial" w:cs="Arial"/>
                  <w:sz w:val="22"/>
                  <w:szCs w:val="22"/>
                </w:rPr>
                <w:t>http://curia.europa.eu/juris/liste.jsf?&amp;num=C-267/91</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T-65/96 Kish Glass [2000] ECR II-1885, </w:t>
            </w:r>
            <w:hyperlink r:id="rId32" w:history="1">
              <w:r w:rsidRPr="00232B39">
                <w:rPr>
                  <w:rStyle w:val="Hyperlink"/>
                  <w:rFonts w:ascii="Arial" w:hAnsi="Arial" w:cs="Arial"/>
                  <w:sz w:val="22"/>
                  <w:szCs w:val="22"/>
                </w:rPr>
                <w:t>http://curia.europa.eu/juris/liste.jsf?language=en&amp;num=T-65/96</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C-241/00 P, Kish Glass [2001] ECR I-07759, </w:t>
            </w:r>
            <w:hyperlink r:id="rId33" w:history="1">
              <w:r w:rsidRPr="00232B39">
                <w:rPr>
                  <w:rStyle w:val="Hyperlink"/>
                  <w:rFonts w:ascii="Arial" w:hAnsi="Arial" w:cs="Arial"/>
                  <w:sz w:val="22"/>
                  <w:szCs w:val="22"/>
                </w:rPr>
                <w:t>http://eur-lex.europa.eu/legal-content/EN/TXT/?uri=CELEX%3A62000CO0241</w:t>
              </w:r>
            </w:hyperlink>
          </w:p>
          <w:p w:rsidR="0004086D" w:rsidRPr="00232B39" w:rsidRDefault="0004086D" w:rsidP="0004086D">
            <w:pPr>
              <w:jc w:val="both"/>
              <w:rPr>
                <w:rFonts w:ascii="Arial" w:hAnsi="Arial" w:cs="Arial"/>
                <w:sz w:val="22"/>
                <w:szCs w:val="22"/>
                <w:lang w:val="it-IT"/>
              </w:rPr>
            </w:pPr>
            <w:r w:rsidRPr="00232B39">
              <w:rPr>
                <w:rFonts w:ascii="Arial" w:hAnsi="Arial" w:cs="Arial"/>
                <w:sz w:val="22"/>
                <w:szCs w:val="22"/>
                <w:lang w:val="it-IT"/>
              </w:rPr>
              <w:t xml:space="preserve">Case C-52/09 TeliaSonera [2011] ECR I-527, </w:t>
            </w:r>
            <w:r w:rsidR="00C26E20" w:rsidRPr="00232B39">
              <w:rPr>
                <w:rFonts w:ascii="Arial" w:hAnsi="Arial" w:cs="Arial"/>
                <w:sz w:val="22"/>
                <w:szCs w:val="22"/>
              </w:rPr>
              <w:fldChar w:fldCharType="begin"/>
            </w:r>
            <w:r w:rsidR="00C26E20" w:rsidRPr="00232B39">
              <w:rPr>
                <w:rFonts w:ascii="Arial" w:hAnsi="Arial" w:cs="Arial"/>
                <w:sz w:val="22"/>
                <w:szCs w:val="22"/>
                <w:lang w:val="it-IT"/>
              </w:rPr>
              <w:instrText>HYPERLINK "http://curia.europa.eu/juris/liste.jsf?language=en&amp;num=C-52/09"</w:instrText>
            </w:r>
            <w:r w:rsidR="00C26E20" w:rsidRPr="00232B39">
              <w:rPr>
                <w:rFonts w:ascii="Arial" w:hAnsi="Arial" w:cs="Arial"/>
                <w:sz w:val="22"/>
                <w:szCs w:val="22"/>
              </w:rPr>
              <w:fldChar w:fldCharType="separate"/>
            </w:r>
            <w:r w:rsidRPr="00232B39">
              <w:rPr>
                <w:rStyle w:val="Hyperlink"/>
                <w:rFonts w:ascii="Arial" w:hAnsi="Arial" w:cs="Arial"/>
                <w:sz w:val="22"/>
                <w:szCs w:val="22"/>
                <w:lang w:val="it-IT"/>
              </w:rPr>
              <w:t>http://curia.europa.eu/juris/liste.jsf?language=en&amp;num=C-52/09</w:t>
            </w:r>
            <w:r w:rsidR="00C26E20" w:rsidRPr="00232B39">
              <w:rPr>
                <w:rFonts w:ascii="Arial" w:hAnsi="Arial" w:cs="Arial"/>
                <w:sz w:val="22"/>
                <w:szCs w:val="22"/>
              </w:rPr>
              <w:fldChar w:fldCharType="end"/>
            </w:r>
          </w:p>
          <w:p w:rsidR="0004086D" w:rsidRPr="00232B39" w:rsidRDefault="0004086D" w:rsidP="0004086D">
            <w:pPr>
              <w:jc w:val="both"/>
              <w:rPr>
                <w:rFonts w:ascii="Arial" w:hAnsi="Arial" w:cs="Arial"/>
                <w:sz w:val="22"/>
                <w:szCs w:val="22"/>
                <w:lang w:val="it-IT"/>
              </w:rPr>
            </w:pPr>
            <w:r w:rsidRPr="00232B39">
              <w:rPr>
                <w:rFonts w:ascii="Arial" w:hAnsi="Arial" w:cs="Arial"/>
                <w:sz w:val="22"/>
                <w:szCs w:val="22"/>
                <w:lang w:val="it-IT"/>
              </w:rPr>
              <w:t xml:space="preserve">Case 322/81 Michelin I [1983] ECR 3461, </w:t>
            </w:r>
            <w:r w:rsidR="00C26E20" w:rsidRPr="00232B39">
              <w:rPr>
                <w:rFonts w:ascii="Arial" w:hAnsi="Arial" w:cs="Arial"/>
                <w:sz w:val="22"/>
                <w:szCs w:val="22"/>
              </w:rPr>
              <w:fldChar w:fldCharType="begin"/>
            </w:r>
            <w:r w:rsidR="00C26E20" w:rsidRPr="00232B39">
              <w:rPr>
                <w:rFonts w:ascii="Arial" w:hAnsi="Arial" w:cs="Arial"/>
                <w:sz w:val="22"/>
                <w:szCs w:val="22"/>
                <w:lang w:val="it-IT"/>
              </w:rPr>
              <w:instrText>HYPERLINK "http://eur-lex.europa.eu/legal-content/EN/TXT/?uri=CELEX%3A61981CJ0322"</w:instrText>
            </w:r>
            <w:r w:rsidR="00C26E20" w:rsidRPr="00232B39">
              <w:rPr>
                <w:rFonts w:ascii="Arial" w:hAnsi="Arial" w:cs="Arial"/>
                <w:sz w:val="22"/>
                <w:szCs w:val="22"/>
              </w:rPr>
              <w:fldChar w:fldCharType="separate"/>
            </w:r>
            <w:r w:rsidRPr="00232B39">
              <w:rPr>
                <w:rStyle w:val="Hyperlink"/>
                <w:rFonts w:ascii="Arial" w:hAnsi="Arial" w:cs="Arial"/>
                <w:sz w:val="22"/>
                <w:szCs w:val="22"/>
                <w:lang w:val="it-IT"/>
              </w:rPr>
              <w:t>http://eur-lex.europa.eu/legal-content/EN/TXT/?uri=CELEX%3A61981CJ0322</w:t>
            </w:r>
            <w:r w:rsidR="00C26E20" w:rsidRPr="00232B39">
              <w:rPr>
                <w:rFonts w:ascii="Arial" w:hAnsi="Arial" w:cs="Arial"/>
                <w:sz w:val="22"/>
                <w:szCs w:val="22"/>
              </w:rPr>
              <w:fldChar w:fldCharType="end"/>
            </w:r>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lastRenderedPageBreak/>
              <w:t xml:space="preserve">Case T-203/01 Michelin II [2003] ECR II-4071, </w:t>
            </w:r>
            <w:hyperlink r:id="rId34" w:history="1">
              <w:r w:rsidRPr="00232B39">
                <w:rPr>
                  <w:rStyle w:val="Hyperlink"/>
                  <w:rFonts w:ascii="Arial" w:hAnsi="Arial" w:cs="Arial"/>
                  <w:sz w:val="22"/>
                  <w:szCs w:val="22"/>
                  <w:lang w:val="fr-FR"/>
                </w:rPr>
                <w:t>http://curia.europa.eu/juris/showPdf.jsf?docid=72091&amp;doclang=en</w:t>
              </w:r>
            </w:hyperlink>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t xml:space="preserve">Case T-201/04 Microsoft v Commission [2007] ECR II-3601, </w:t>
            </w:r>
            <w:hyperlink r:id="rId35" w:history="1">
              <w:r w:rsidRPr="00232B39">
                <w:rPr>
                  <w:rStyle w:val="Hyperlink"/>
                  <w:rFonts w:ascii="Arial" w:hAnsi="Arial" w:cs="Arial"/>
                  <w:sz w:val="22"/>
                  <w:szCs w:val="22"/>
                  <w:lang w:val="fr-FR"/>
                </w:rPr>
                <w:t>http://curia.europa.eu/juris/liste.jsf?language=en&amp;num=T-201/04</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Opinion of AG Lenz in Case C-62/86 AKZO </w:t>
            </w:r>
            <w:proofErr w:type="spellStart"/>
            <w:r w:rsidRPr="00232B39">
              <w:rPr>
                <w:rFonts w:ascii="Arial" w:hAnsi="Arial" w:cs="Arial"/>
                <w:sz w:val="22"/>
                <w:szCs w:val="22"/>
              </w:rPr>
              <w:t>Chemie</w:t>
            </w:r>
            <w:proofErr w:type="spellEnd"/>
            <w:r w:rsidRPr="00232B39">
              <w:rPr>
                <w:rFonts w:ascii="Arial" w:hAnsi="Arial" w:cs="Arial"/>
                <w:sz w:val="22"/>
                <w:szCs w:val="22"/>
              </w:rPr>
              <w:t xml:space="preserve"> [1991] I-03359, </w:t>
            </w:r>
            <w:hyperlink r:id="rId36" w:history="1">
              <w:r w:rsidRPr="00232B39">
                <w:rPr>
                  <w:rStyle w:val="Hyperlink"/>
                  <w:rFonts w:ascii="Arial" w:hAnsi="Arial" w:cs="Arial"/>
                  <w:sz w:val="22"/>
                  <w:szCs w:val="22"/>
                </w:rPr>
                <w:t>http://eur-lex.europa.eu/legal-content/EN/TXT/?qid=1497482010903&amp;uri=CELEX:61986CC0062</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Opinion of AG Mazak in Case C-202/07 P, France </w:t>
            </w:r>
            <w:proofErr w:type="spellStart"/>
            <w:r w:rsidRPr="00232B39">
              <w:rPr>
                <w:rFonts w:ascii="Arial" w:hAnsi="Arial" w:cs="Arial"/>
                <w:sz w:val="22"/>
                <w:szCs w:val="22"/>
              </w:rPr>
              <w:t>Télécom</w:t>
            </w:r>
            <w:proofErr w:type="spellEnd"/>
            <w:r w:rsidRPr="00232B39">
              <w:rPr>
                <w:rFonts w:ascii="Arial" w:hAnsi="Arial" w:cs="Arial"/>
                <w:sz w:val="22"/>
                <w:szCs w:val="22"/>
              </w:rPr>
              <w:t xml:space="preserve"> (</w:t>
            </w:r>
            <w:proofErr w:type="spellStart"/>
            <w:r w:rsidRPr="00232B39">
              <w:rPr>
                <w:rFonts w:ascii="Arial" w:hAnsi="Arial" w:cs="Arial"/>
                <w:sz w:val="22"/>
                <w:szCs w:val="22"/>
              </w:rPr>
              <w:t>Wanadoo</w:t>
            </w:r>
            <w:proofErr w:type="spellEnd"/>
            <w:r w:rsidRPr="00232B39">
              <w:rPr>
                <w:rFonts w:ascii="Arial" w:hAnsi="Arial" w:cs="Arial"/>
                <w:sz w:val="22"/>
                <w:szCs w:val="22"/>
              </w:rPr>
              <w:t xml:space="preserve">) [2009] I- 02369, </w:t>
            </w:r>
            <w:hyperlink r:id="rId37" w:history="1">
              <w:r w:rsidRPr="00232B39">
                <w:rPr>
                  <w:rStyle w:val="Hyperlink"/>
                  <w:rFonts w:ascii="Arial" w:hAnsi="Arial" w:cs="Arial"/>
                  <w:sz w:val="22"/>
                  <w:szCs w:val="22"/>
                </w:rPr>
                <w:t>http://curia.europa.eu/juris/liste.jsf?language=en&amp;num=C-202/07</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Opinion of AG Mazak in Case C-549/10 P, </w:t>
            </w:r>
            <w:proofErr w:type="spellStart"/>
            <w:r w:rsidRPr="00232B39">
              <w:rPr>
                <w:rFonts w:ascii="Arial" w:hAnsi="Arial" w:cs="Arial"/>
                <w:sz w:val="22"/>
                <w:szCs w:val="22"/>
              </w:rPr>
              <w:t>Tomra</w:t>
            </w:r>
            <w:proofErr w:type="spellEnd"/>
            <w:r w:rsidRPr="00232B39">
              <w:rPr>
                <w:rFonts w:ascii="Arial" w:hAnsi="Arial" w:cs="Arial"/>
                <w:sz w:val="22"/>
                <w:szCs w:val="22"/>
              </w:rPr>
              <w:t xml:space="preserve"> Systems ASA and Others v Commission (2012), </w:t>
            </w:r>
            <w:hyperlink r:id="rId38" w:history="1">
              <w:r w:rsidRPr="00232B39">
                <w:rPr>
                  <w:rStyle w:val="Hyperlink"/>
                  <w:rFonts w:ascii="Arial" w:hAnsi="Arial" w:cs="Arial"/>
                  <w:sz w:val="22"/>
                  <w:szCs w:val="22"/>
                </w:rPr>
                <w:t>http://curia.europa.eu/juris/liste.jsf?language=en&amp;num=C-549/10%20P</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C-7/97 Oscar </w:t>
            </w:r>
            <w:proofErr w:type="spellStart"/>
            <w:r w:rsidRPr="00232B39">
              <w:rPr>
                <w:rFonts w:ascii="Arial" w:hAnsi="Arial" w:cs="Arial"/>
                <w:sz w:val="22"/>
                <w:szCs w:val="22"/>
              </w:rPr>
              <w:t>Bronner</w:t>
            </w:r>
            <w:proofErr w:type="spellEnd"/>
            <w:r w:rsidRPr="00232B39">
              <w:rPr>
                <w:rFonts w:ascii="Arial" w:hAnsi="Arial" w:cs="Arial"/>
                <w:sz w:val="22"/>
                <w:szCs w:val="22"/>
              </w:rPr>
              <w:t xml:space="preserve"> [1998] ECR I-7791, </w:t>
            </w:r>
            <w:hyperlink r:id="rId39" w:history="1">
              <w:r w:rsidRPr="00232B39">
                <w:rPr>
                  <w:rStyle w:val="Hyperlink"/>
                  <w:rFonts w:ascii="Arial" w:hAnsi="Arial" w:cs="Arial"/>
                  <w:sz w:val="22"/>
                  <w:szCs w:val="22"/>
                </w:rPr>
                <w:t>http://curia.europa.eu/juris/liste.jsf?language=en&amp;num=C-7/97</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C-209/10 Post </w:t>
            </w:r>
            <w:proofErr w:type="spellStart"/>
            <w:r w:rsidRPr="00232B39">
              <w:rPr>
                <w:rFonts w:ascii="Arial" w:hAnsi="Arial" w:cs="Arial"/>
                <w:sz w:val="22"/>
                <w:szCs w:val="22"/>
              </w:rPr>
              <w:t>Danmark</w:t>
            </w:r>
            <w:proofErr w:type="spellEnd"/>
            <w:r w:rsidRPr="00232B39">
              <w:rPr>
                <w:rFonts w:ascii="Arial" w:hAnsi="Arial" w:cs="Arial"/>
                <w:sz w:val="22"/>
                <w:szCs w:val="22"/>
              </w:rPr>
              <w:t xml:space="preserve"> [2012] ECR I-0000, </w:t>
            </w:r>
            <w:hyperlink r:id="rId40" w:history="1">
              <w:r w:rsidRPr="00232B39">
                <w:rPr>
                  <w:rStyle w:val="Hyperlink"/>
                  <w:rFonts w:ascii="Arial" w:hAnsi="Arial" w:cs="Arial"/>
                  <w:sz w:val="22"/>
                  <w:szCs w:val="22"/>
                </w:rPr>
                <w:t>http://curia.europa.eu/juris/liste.jsf?num=C-209/10&amp;language=EN</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Joined cases C-241/91 P and C-242/91 P, RTE &amp; ITP (Magill) [1995] ECR I- 743, </w:t>
            </w:r>
            <w:hyperlink r:id="rId41" w:history="1">
              <w:r w:rsidRPr="00232B39">
                <w:rPr>
                  <w:rStyle w:val="Hyperlink"/>
                  <w:rFonts w:ascii="Arial" w:hAnsi="Arial" w:cs="Arial"/>
                  <w:sz w:val="22"/>
                  <w:szCs w:val="22"/>
                </w:rPr>
                <w:t>http://curia.europa.eu/juris/liste.jsf?num=C-241/91%20P</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T-69/89 RTE [1991] ECR II-485, </w:t>
            </w:r>
            <w:hyperlink r:id="rId42" w:history="1">
              <w:r w:rsidRPr="00232B39">
                <w:rPr>
                  <w:rStyle w:val="Hyperlink"/>
                  <w:rFonts w:ascii="Arial" w:hAnsi="Arial" w:cs="Arial"/>
                  <w:sz w:val="22"/>
                  <w:szCs w:val="22"/>
                </w:rPr>
                <w:t>http://curia.europa.eu/juris/liste.jsf;jsessionid=9ea7d2dc30d5b3fce4c472314d89a307c64709ced193.e34KaxiLc3qMb40Rch0SaxyKaNz0?num=T-69/89&amp;language=en</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T-57/01 Solvay [2009] ECR II-4621, </w:t>
            </w:r>
            <w:hyperlink r:id="rId43" w:history="1">
              <w:r w:rsidRPr="00232B39">
                <w:rPr>
                  <w:rStyle w:val="Hyperlink"/>
                  <w:rFonts w:ascii="Arial" w:hAnsi="Arial" w:cs="Arial"/>
                  <w:sz w:val="22"/>
                  <w:szCs w:val="22"/>
                </w:rPr>
                <w:t>http://curia.europa.eu/juris/liste.jsf?language=en&amp;num=T-57/01</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T-336/07 </w:t>
            </w:r>
            <w:proofErr w:type="spellStart"/>
            <w:r w:rsidRPr="00232B39">
              <w:rPr>
                <w:rFonts w:ascii="Arial" w:hAnsi="Arial" w:cs="Arial"/>
                <w:sz w:val="22"/>
                <w:szCs w:val="22"/>
              </w:rPr>
              <w:t>Telefónica</w:t>
            </w:r>
            <w:proofErr w:type="spellEnd"/>
            <w:r w:rsidRPr="00232B39">
              <w:rPr>
                <w:rFonts w:ascii="Arial" w:hAnsi="Arial" w:cs="Arial"/>
                <w:sz w:val="22"/>
                <w:szCs w:val="22"/>
              </w:rPr>
              <w:t xml:space="preserve"> [2012], </w:t>
            </w:r>
            <w:hyperlink r:id="rId44" w:history="1">
              <w:r w:rsidRPr="00232B39">
                <w:rPr>
                  <w:rStyle w:val="Hyperlink"/>
                  <w:rFonts w:ascii="Arial" w:hAnsi="Arial" w:cs="Arial"/>
                  <w:sz w:val="22"/>
                  <w:szCs w:val="22"/>
                </w:rPr>
                <w:t>http://curia.europa.eu/juris/liste.jsf?num=T-336/07</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C-333/94 P, Tetra Pak II [1996] ECR I-5951, </w:t>
            </w:r>
            <w:hyperlink r:id="rId45" w:history="1">
              <w:r w:rsidRPr="00232B39">
                <w:rPr>
                  <w:rStyle w:val="Hyperlink"/>
                  <w:rFonts w:ascii="Arial" w:hAnsi="Arial" w:cs="Arial"/>
                  <w:sz w:val="22"/>
                  <w:szCs w:val="22"/>
                </w:rPr>
                <w:t>http://eur-lex.europa.eu/legal-content/EL/TXT/?uri=CELEX%3A61994CJ0333</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T-83/91 Tetra Pak II [1994] ECR II-755, </w:t>
            </w:r>
            <w:hyperlink r:id="rId46" w:history="1">
              <w:r w:rsidRPr="00232B39">
                <w:rPr>
                  <w:rStyle w:val="Hyperlink"/>
                  <w:rFonts w:ascii="Arial" w:hAnsi="Arial" w:cs="Arial"/>
                  <w:sz w:val="22"/>
                  <w:szCs w:val="22"/>
                </w:rPr>
                <w:t>http://eur-lex.europa.eu/legal-content/EN/TXT/?uri=CELEX%3A61991TJ0083</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T-504/93 </w:t>
            </w:r>
            <w:proofErr w:type="spellStart"/>
            <w:r w:rsidRPr="00232B39">
              <w:rPr>
                <w:rFonts w:ascii="Arial" w:hAnsi="Arial" w:cs="Arial"/>
                <w:sz w:val="22"/>
                <w:szCs w:val="22"/>
              </w:rPr>
              <w:t>Tiercé</w:t>
            </w:r>
            <w:proofErr w:type="spellEnd"/>
            <w:r w:rsidRPr="00232B39">
              <w:rPr>
                <w:rFonts w:ascii="Arial" w:hAnsi="Arial" w:cs="Arial"/>
                <w:sz w:val="22"/>
                <w:szCs w:val="22"/>
              </w:rPr>
              <w:t xml:space="preserve"> Ladbroke [1997] ECR II-923, </w:t>
            </w:r>
            <w:hyperlink r:id="rId47" w:history="1">
              <w:r w:rsidRPr="00232B39">
                <w:rPr>
                  <w:rStyle w:val="Hyperlink"/>
                  <w:rFonts w:ascii="Arial" w:hAnsi="Arial" w:cs="Arial"/>
                  <w:sz w:val="22"/>
                  <w:szCs w:val="22"/>
                </w:rPr>
                <w:t>http://eur-lex.europa.eu/legal-content/EN/TXT/?uri=CELEX%3A61993TJ0504</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C-549/10 P, </w:t>
            </w:r>
            <w:proofErr w:type="spellStart"/>
            <w:r w:rsidRPr="00232B39">
              <w:rPr>
                <w:rFonts w:ascii="Arial" w:hAnsi="Arial" w:cs="Arial"/>
                <w:sz w:val="22"/>
                <w:szCs w:val="22"/>
              </w:rPr>
              <w:t>Tomra</w:t>
            </w:r>
            <w:proofErr w:type="spellEnd"/>
            <w:r w:rsidRPr="00232B39">
              <w:rPr>
                <w:rFonts w:ascii="Arial" w:hAnsi="Arial" w:cs="Arial"/>
                <w:sz w:val="22"/>
                <w:szCs w:val="22"/>
              </w:rPr>
              <w:t xml:space="preserve"> Systems ASA and Others v Commission (2012), </w:t>
            </w:r>
            <w:hyperlink r:id="rId48" w:history="1">
              <w:r w:rsidRPr="00232B39">
                <w:rPr>
                  <w:rStyle w:val="Hyperlink"/>
                  <w:rFonts w:ascii="Arial" w:hAnsi="Arial" w:cs="Arial"/>
                  <w:sz w:val="22"/>
                  <w:szCs w:val="22"/>
                </w:rPr>
                <w:t>http://curia.europa.eu/juris/liste.jsf?language=en&amp;num=C-549/10%20P</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T-155/06 </w:t>
            </w:r>
            <w:proofErr w:type="spellStart"/>
            <w:r w:rsidRPr="00232B39">
              <w:rPr>
                <w:rFonts w:ascii="Arial" w:hAnsi="Arial" w:cs="Arial"/>
                <w:sz w:val="22"/>
                <w:szCs w:val="22"/>
              </w:rPr>
              <w:t>Tomra</w:t>
            </w:r>
            <w:proofErr w:type="spellEnd"/>
            <w:r w:rsidRPr="00232B39">
              <w:rPr>
                <w:rFonts w:ascii="Arial" w:hAnsi="Arial" w:cs="Arial"/>
                <w:sz w:val="22"/>
                <w:szCs w:val="22"/>
              </w:rPr>
              <w:t xml:space="preserve"> [2010] ECR II-4361, </w:t>
            </w:r>
            <w:hyperlink r:id="rId49" w:history="1">
              <w:r w:rsidRPr="00232B39">
                <w:rPr>
                  <w:rStyle w:val="Hyperlink"/>
                  <w:rFonts w:ascii="Arial" w:hAnsi="Arial" w:cs="Arial"/>
                  <w:sz w:val="22"/>
                  <w:szCs w:val="22"/>
                </w:rPr>
                <w:t>http://curia.europa.eu/juris/liste.jsf?language=en&amp;num=T-155/06</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27/76 United Brands [1978] ECR 207, </w:t>
            </w:r>
            <w:hyperlink r:id="rId50" w:history="1">
              <w:r w:rsidRPr="00232B39">
                <w:rPr>
                  <w:rStyle w:val="Hyperlink"/>
                  <w:rFonts w:ascii="Arial" w:hAnsi="Arial" w:cs="Arial"/>
                  <w:sz w:val="22"/>
                  <w:szCs w:val="22"/>
                </w:rPr>
                <w:t>http://curia.europa.eu/juris/liste.jsf?language=en&amp;jur=C,T,F&amp;num=27/76&amp;td=ALL</w:t>
              </w:r>
            </w:hyperlink>
          </w:p>
          <w:p w:rsidR="0004086D" w:rsidRPr="00232B39" w:rsidRDefault="0004086D" w:rsidP="0004086D">
            <w:pPr>
              <w:jc w:val="both"/>
              <w:rPr>
                <w:rFonts w:ascii="Arial" w:hAnsi="Arial" w:cs="Arial"/>
                <w:sz w:val="22"/>
                <w:szCs w:val="22"/>
                <w:lang w:val="de-DE"/>
              </w:rPr>
            </w:pPr>
            <w:r w:rsidRPr="00232B39">
              <w:rPr>
                <w:rFonts w:ascii="Arial" w:hAnsi="Arial" w:cs="Arial"/>
                <w:sz w:val="22"/>
                <w:szCs w:val="22"/>
                <w:lang w:val="de-DE"/>
              </w:rPr>
              <w:t xml:space="preserve">Case T-62/98 Volkswagen [2000] ECR II-2707, </w:t>
            </w:r>
            <w:hyperlink r:id="rId51" w:history="1">
              <w:r w:rsidRPr="00232B39">
                <w:rPr>
                  <w:rStyle w:val="Hyperlink"/>
                  <w:rFonts w:ascii="Arial" w:hAnsi="Arial" w:cs="Arial"/>
                  <w:sz w:val="22"/>
                  <w:szCs w:val="22"/>
                  <w:lang w:val="de-DE"/>
                </w:rPr>
                <w:t>http://eur-lex.europa.eu/legal-content/EN/TXT/?qid=1497482503067&amp;uri=CELEX:61998TJ0062</w:t>
              </w:r>
            </w:hyperlink>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t xml:space="preserve">Case 395/87 Ministère Public v Jean-Louis Tournier [1989] E.C.R. 2521, </w:t>
            </w:r>
            <w:hyperlink r:id="rId52" w:history="1">
              <w:r w:rsidRPr="00232B39">
                <w:rPr>
                  <w:rStyle w:val="Hyperlink"/>
                  <w:rFonts w:ascii="Arial" w:hAnsi="Arial" w:cs="Arial"/>
                  <w:sz w:val="22"/>
                  <w:szCs w:val="22"/>
                  <w:lang w:val="fr-FR"/>
                </w:rPr>
                <w:t>http://curia.europa.eu/juris/liste.jsf?language=en&amp;num=C-395/87</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C-250/92 </w:t>
            </w:r>
            <w:proofErr w:type="spellStart"/>
            <w:r w:rsidRPr="00232B39">
              <w:rPr>
                <w:rFonts w:ascii="Arial" w:hAnsi="Arial" w:cs="Arial"/>
                <w:sz w:val="22"/>
                <w:szCs w:val="22"/>
              </w:rPr>
              <w:t>Gøttrup-Klim</w:t>
            </w:r>
            <w:proofErr w:type="spellEnd"/>
            <w:r w:rsidRPr="00232B39">
              <w:rPr>
                <w:rFonts w:ascii="Arial" w:hAnsi="Arial" w:cs="Arial"/>
                <w:sz w:val="22"/>
                <w:szCs w:val="22"/>
              </w:rPr>
              <w:t xml:space="preserve">, [1994] E.C.R. I-5641, </w:t>
            </w:r>
            <w:hyperlink r:id="rId53" w:history="1">
              <w:r w:rsidRPr="00232B39">
                <w:rPr>
                  <w:rStyle w:val="Hyperlink"/>
                  <w:rFonts w:ascii="Arial" w:hAnsi="Arial" w:cs="Arial"/>
                  <w:sz w:val="22"/>
                  <w:szCs w:val="22"/>
                </w:rPr>
                <w:t>http://eur-lex.europa.eu/legal-content/EN/TXT/?uri=CELEX%3A61992CJ0250</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C-234/89 </w:t>
            </w:r>
            <w:proofErr w:type="spellStart"/>
            <w:r w:rsidRPr="00232B39">
              <w:rPr>
                <w:rFonts w:ascii="Arial" w:hAnsi="Arial" w:cs="Arial"/>
                <w:sz w:val="22"/>
                <w:szCs w:val="22"/>
              </w:rPr>
              <w:t>StergiosDelimitis</w:t>
            </w:r>
            <w:proofErr w:type="spellEnd"/>
            <w:r w:rsidRPr="00232B39">
              <w:rPr>
                <w:rFonts w:ascii="Arial" w:hAnsi="Arial" w:cs="Arial"/>
                <w:sz w:val="22"/>
                <w:szCs w:val="22"/>
              </w:rPr>
              <w:t xml:space="preserve"> v </w:t>
            </w:r>
            <w:proofErr w:type="spellStart"/>
            <w:r w:rsidRPr="00232B39">
              <w:rPr>
                <w:rFonts w:ascii="Arial" w:hAnsi="Arial" w:cs="Arial"/>
                <w:sz w:val="22"/>
                <w:szCs w:val="22"/>
              </w:rPr>
              <w:t>HenningerBräu</w:t>
            </w:r>
            <w:proofErr w:type="spellEnd"/>
            <w:r w:rsidRPr="00232B39">
              <w:rPr>
                <w:rFonts w:ascii="Arial" w:hAnsi="Arial" w:cs="Arial"/>
                <w:sz w:val="22"/>
                <w:szCs w:val="22"/>
              </w:rPr>
              <w:t xml:space="preserve"> AG [1991] E.C.R. I-935, </w:t>
            </w:r>
            <w:hyperlink r:id="rId54" w:history="1">
              <w:r w:rsidRPr="00232B39">
                <w:rPr>
                  <w:rStyle w:val="Hyperlink"/>
                  <w:rFonts w:ascii="Arial" w:hAnsi="Arial" w:cs="Arial"/>
                  <w:sz w:val="22"/>
                  <w:szCs w:val="22"/>
                </w:rPr>
                <w:t>http://eur-lex.europa.eu/legal-content/EN/TXT/?uri=CELEX%3A61989CJ0234</w:t>
              </w:r>
            </w:hyperlink>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t xml:space="preserve">Case 27/87 SPRL Louis </w:t>
            </w:r>
            <w:proofErr w:type="spellStart"/>
            <w:r w:rsidRPr="00232B39">
              <w:rPr>
                <w:rFonts w:ascii="Arial" w:hAnsi="Arial" w:cs="Arial"/>
                <w:sz w:val="22"/>
                <w:szCs w:val="22"/>
                <w:lang w:val="fr-FR"/>
              </w:rPr>
              <w:t>Erauw</w:t>
            </w:r>
            <w:proofErr w:type="spellEnd"/>
            <w:r w:rsidRPr="00232B39">
              <w:rPr>
                <w:rFonts w:ascii="Arial" w:hAnsi="Arial" w:cs="Arial"/>
                <w:sz w:val="22"/>
                <w:szCs w:val="22"/>
                <w:lang w:val="fr-FR"/>
              </w:rPr>
              <w:t>-</w:t>
            </w:r>
            <w:proofErr w:type="spellStart"/>
            <w:r w:rsidRPr="00232B39">
              <w:rPr>
                <w:rFonts w:ascii="Arial" w:hAnsi="Arial" w:cs="Arial"/>
                <w:sz w:val="22"/>
                <w:szCs w:val="22"/>
                <w:lang w:val="fr-FR"/>
              </w:rPr>
              <w:t>Jacquery</w:t>
            </w:r>
            <w:proofErr w:type="spellEnd"/>
            <w:r w:rsidRPr="00232B39">
              <w:rPr>
                <w:rFonts w:ascii="Arial" w:hAnsi="Arial" w:cs="Arial"/>
                <w:sz w:val="22"/>
                <w:szCs w:val="22"/>
                <w:lang w:val="fr-FR"/>
              </w:rPr>
              <w:t xml:space="preserve"> v La </w:t>
            </w:r>
            <w:proofErr w:type="spellStart"/>
            <w:r w:rsidRPr="00232B39">
              <w:rPr>
                <w:rFonts w:ascii="Arial" w:hAnsi="Arial" w:cs="Arial"/>
                <w:sz w:val="22"/>
                <w:szCs w:val="22"/>
                <w:lang w:val="fr-FR"/>
              </w:rPr>
              <w:t>Hesbignonne</w:t>
            </w:r>
            <w:proofErr w:type="spellEnd"/>
            <w:r w:rsidRPr="00232B39">
              <w:rPr>
                <w:rFonts w:ascii="Arial" w:hAnsi="Arial" w:cs="Arial"/>
                <w:sz w:val="22"/>
                <w:szCs w:val="22"/>
                <w:lang w:val="fr-FR"/>
              </w:rPr>
              <w:t xml:space="preserve"> SC [1988] E.C.R. 1919 </w:t>
            </w:r>
            <w:hyperlink r:id="rId55" w:history="1">
              <w:r w:rsidRPr="00232B39">
                <w:rPr>
                  <w:rStyle w:val="Hyperlink"/>
                  <w:rFonts w:ascii="Arial" w:hAnsi="Arial" w:cs="Arial"/>
                  <w:sz w:val="22"/>
                  <w:szCs w:val="22"/>
                  <w:lang w:val="fr-FR"/>
                </w:rPr>
                <w:t>http://curia.europa.eu/juris/liste.jsf?language=en&amp;num=C-27/87</w:t>
              </w:r>
            </w:hyperlink>
          </w:p>
          <w:p w:rsidR="0004086D" w:rsidRPr="00232B39" w:rsidRDefault="0004086D" w:rsidP="0004086D">
            <w:pPr>
              <w:jc w:val="both"/>
              <w:rPr>
                <w:rFonts w:ascii="Arial" w:hAnsi="Arial" w:cs="Arial"/>
                <w:sz w:val="22"/>
                <w:szCs w:val="22"/>
                <w:lang w:val="it-IT"/>
              </w:rPr>
            </w:pPr>
            <w:r w:rsidRPr="00232B39">
              <w:rPr>
                <w:rFonts w:ascii="Arial" w:hAnsi="Arial" w:cs="Arial"/>
                <w:sz w:val="22"/>
                <w:szCs w:val="22"/>
                <w:lang w:val="it-IT"/>
              </w:rPr>
              <w:t xml:space="preserve">Case 26/76 Metro I [1977] E.C.R. 1875, </w:t>
            </w:r>
            <w:r w:rsidR="00C26E20" w:rsidRPr="00232B39">
              <w:rPr>
                <w:rFonts w:ascii="Arial" w:hAnsi="Arial" w:cs="Arial"/>
                <w:sz w:val="22"/>
                <w:szCs w:val="22"/>
              </w:rPr>
              <w:fldChar w:fldCharType="begin"/>
            </w:r>
            <w:r w:rsidR="00DB0570" w:rsidRPr="00232B39">
              <w:rPr>
                <w:rFonts w:ascii="Arial" w:hAnsi="Arial" w:cs="Arial"/>
                <w:sz w:val="22"/>
                <w:szCs w:val="22"/>
                <w:lang w:val="it-IT"/>
              </w:rPr>
              <w:instrText xml:space="preserve"> HYPERLINK "http://eur-lex.europa.eu/legal-content/EN/TXT/?uri=CELEX%3A61976CJ0026" </w:instrText>
            </w:r>
            <w:r w:rsidR="00C26E20" w:rsidRPr="00232B39">
              <w:rPr>
                <w:rFonts w:ascii="Arial" w:hAnsi="Arial" w:cs="Arial"/>
                <w:sz w:val="22"/>
                <w:szCs w:val="22"/>
              </w:rPr>
              <w:fldChar w:fldCharType="separate"/>
            </w:r>
            <w:r w:rsidRPr="00232B39">
              <w:rPr>
                <w:rStyle w:val="Hyperlink"/>
                <w:rFonts w:ascii="Arial" w:hAnsi="Arial" w:cs="Arial"/>
                <w:sz w:val="22"/>
                <w:szCs w:val="22"/>
                <w:lang w:val="it-IT"/>
              </w:rPr>
              <w:t>http://eur-lex.europa.eu/legal-</w:t>
            </w:r>
            <w:r w:rsidRPr="00232B39">
              <w:rPr>
                <w:rStyle w:val="Hyperlink"/>
                <w:rFonts w:ascii="Arial" w:hAnsi="Arial" w:cs="Arial"/>
                <w:sz w:val="22"/>
                <w:szCs w:val="22"/>
                <w:lang w:val="it-IT"/>
              </w:rPr>
              <w:lastRenderedPageBreak/>
              <w:t>content/EN/TXT/?uri=CELEX%3A61976CJ0026</w:t>
            </w:r>
            <w:r w:rsidR="00C26E20" w:rsidRPr="00232B39">
              <w:rPr>
                <w:rStyle w:val="Hyperlink"/>
                <w:rFonts w:ascii="Arial" w:hAnsi="Arial" w:cs="Arial"/>
                <w:sz w:val="22"/>
                <w:szCs w:val="22"/>
              </w:rPr>
              <w:fldChar w:fldCharType="end"/>
            </w:r>
          </w:p>
          <w:p w:rsidR="0004086D" w:rsidRPr="00232B39" w:rsidRDefault="0004086D" w:rsidP="0004086D">
            <w:pPr>
              <w:jc w:val="both"/>
              <w:rPr>
                <w:rFonts w:ascii="Arial" w:hAnsi="Arial" w:cs="Arial"/>
                <w:sz w:val="22"/>
                <w:szCs w:val="22"/>
                <w:lang w:val="de-DE"/>
              </w:rPr>
            </w:pPr>
            <w:r w:rsidRPr="00232B39">
              <w:rPr>
                <w:rFonts w:ascii="Arial" w:hAnsi="Arial" w:cs="Arial"/>
                <w:sz w:val="22"/>
                <w:szCs w:val="22"/>
                <w:lang w:val="de-DE"/>
              </w:rPr>
              <w:t xml:space="preserve">Case 258/78 L.C. Nungesser KG and Kurt Eisele v Commission (258/78) [1982] E.C.R. 2015, </w:t>
            </w:r>
            <w:r w:rsidR="00C26E20" w:rsidRPr="00232B39">
              <w:rPr>
                <w:rFonts w:ascii="Arial" w:hAnsi="Arial" w:cs="Arial"/>
                <w:sz w:val="22"/>
                <w:szCs w:val="22"/>
              </w:rPr>
              <w:fldChar w:fldCharType="begin"/>
            </w:r>
            <w:r w:rsidR="00C26E20" w:rsidRPr="00232B39">
              <w:rPr>
                <w:rFonts w:ascii="Arial" w:hAnsi="Arial" w:cs="Arial"/>
                <w:sz w:val="22"/>
                <w:szCs w:val="22"/>
              </w:rPr>
              <w:instrText>HYPERLINK "http://eur-lex.europa.eu/legal-content/EN/TXT/?uri=CELEX%3A61978CJ0258"</w:instrText>
            </w:r>
            <w:r w:rsidR="00C26E20" w:rsidRPr="00232B39">
              <w:rPr>
                <w:rFonts w:ascii="Arial" w:hAnsi="Arial" w:cs="Arial"/>
                <w:sz w:val="22"/>
                <w:szCs w:val="22"/>
              </w:rPr>
              <w:fldChar w:fldCharType="separate"/>
            </w:r>
            <w:r w:rsidRPr="00232B39">
              <w:rPr>
                <w:rStyle w:val="Hyperlink"/>
                <w:rFonts w:ascii="Arial" w:hAnsi="Arial" w:cs="Arial"/>
                <w:sz w:val="22"/>
                <w:szCs w:val="22"/>
                <w:lang w:val="de-DE"/>
              </w:rPr>
              <w:t>http://eur-lex.europa.eu/legal-content/EN/TXT/?uri=CELEX%3A61978CJ0258</w:t>
            </w:r>
            <w:r w:rsidR="00C26E20" w:rsidRPr="00232B39">
              <w:rPr>
                <w:rFonts w:ascii="Arial" w:hAnsi="Arial" w:cs="Arial"/>
                <w:sz w:val="22"/>
                <w:szCs w:val="22"/>
              </w:rPr>
              <w:fldChar w:fldCharType="end"/>
            </w:r>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7/95P John Deere Ltd v Commission [1998] E.C.R I-3111, </w:t>
            </w:r>
            <w:hyperlink r:id="rId56" w:history="1">
              <w:r w:rsidRPr="00232B39">
                <w:rPr>
                  <w:rStyle w:val="Hyperlink"/>
                  <w:rFonts w:ascii="Arial" w:hAnsi="Arial" w:cs="Arial"/>
                  <w:sz w:val="22"/>
                  <w:szCs w:val="22"/>
                </w:rPr>
                <w:t>http://curia.europa.eu/juris/liste.jsf?language=en&amp;num=C-7/95</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238/05 </w:t>
            </w:r>
            <w:proofErr w:type="spellStart"/>
            <w:r w:rsidRPr="00232B39">
              <w:rPr>
                <w:rFonts w:ascii="Arial" w:hAnsi="Arial" w:cs="Arial"/>
                <w:sz w:val="22"/>
                <w:szCs w:val="22"/>
              </w:rPr>
              <w:t>Asnef</w:t>
            </w:r>
            <w:proofErr w:type="spellEnd"/>
            <w:r w:rsidRPr="00232B39">
              <w:rPr>
                <w:rFonts w:ascii="Arial" w:hAnsi="Arial" w:cs="Arial"/>
                <w:sz w:val="22"/>
                <w:szCs w:val="22"/>
              </w:rPr>
              <w:t xml:space="preserve">-Equifax, </w:t>
            </w:r>
            <w:proofErr w:type="spellStart"/>
            <w:r w:rsidRPr="00232B39">
              <w:rPr>
                <w:rFonts w:ascii="Arial" w:hAnsi="Arial" w:cs="Arial"/>
                <w:sz w:val="22"/>
                <w:szCs w:val="22"/>
              </w:rPr>
              <w:t>Servicios</w:t>
            </w:r>
            <w:proofErr w:type="spellEnd"/>
            <w:r w:rsidRPr="00232B39">
              <w:rPr>
                <w:rFonts w:ascii="Arial" w:hAnsi="Arial" w:cs="Arial"/>
                <w:sz w:val="22"/>
                <w:szCs w:val="22"/>
              </w:rPr>
              <w:t xml:space="preserve"> de </w:t>
            </w:r>
            <w:proofErr w:type="spellStart"/>
            <w:r w:rsidRPr="00232B39">
              <w:rPr>
                <w:rFonts w:ascii="Arial" w:hAnsi="Arial" w:cs="Arial"/>
                <w:sz w:val="22"/>
                <w:szCs w:val="22"/>
              </w:rPr>
              <w:t>InformaciónsobreSolvencia</w:t>
            </w:r>
            <w:proofErr w:type="spellEnd"/>
            <w:r w:rsidRPr="00232B39">
              <w:rPr>
                <w:rFonts w:ascii="Arial" w:hAnsi="Arial" w:cs="Arial"/>
                <w:sz w:val="22"/>
                <w:szCs w:val="22"/>
              </w:rPr>
              <w:t xml:space="preserve"> y </w:t>
            </w:r>
            <w:proofErr w:type="spellStart"/>
            <w:r w:rsidRPr="00232B39">
              <w:rPr>
                <w:rFonts w:ascii="Arial" w:hAnsi="Arial" w:cs="Arial"/>
                <w:sz w:val="22"/>
                <w:szCs w:val="22"/>
              </w:rPr>
              <w:t>Crédito</w:t>
            </w:r>
            <w:proofErr w:type="spellEnd"/>
            <w:r w:rsidRPr="00232B39">
              <w:rPr>
                <w:rFonts w:ascii="Arial" w:hAnsi="Arial" w:cs="Arial"/>
                <w:sz w:val="22"/>
                <w:szCs w:val="22"/>
              </w:rPr>
              <w:t xml:space="preserve">, SL and </w:t>
            </w:r>
            <w:proofErr w:type="spellStart"/>
            <w:r w:rsidRPr="00232B39">
              <w:rPr>
                <w:rFonts w:ascii="Arial" w:hAnsi="Arial" w:cs="Arial"/>
                <w:sz w:val="22"/>
                <w:szCs w:val="22"/>
              </w:rPr>
              <w:t>Administración</w:t>
            </w:r>
            <w:proofErr w:type="spellEnd"/>
            <w:r w:rsidRPr="00232B39">
              <w:rPr>
                <w:rFonts w:ascii="Arial" w:hAnsi="Arial" w:cs="Arial"/>
                <w:sz w:val="22"/>
                <w:szCs w:val="22"/>
              </w:rPr>
              <w:t xml:space="preserve"> del Estado v </w:t>
            </w:r>
            <w:proofErr w:type="spellStart"/>
            <w:r w:rsidRPr="00232B39">
              <w:rPr>
                <w:rFonts w:ascii="Arial" w:hAnsi="Arial" w:cs="Arial"/>
                <w:sz w:val="22"/>
                <w:szCs w:val="22"/>
              </w:rPr>
              <w:t>Asociación</w:t>
            </w:r>
            <w:proofErr w:type="spellEnd"/>
            <w:r w:rsidRPr="00232B39">
              <w:rPr>
                <w:rFonts w:ascii="Arial" w:hAnsi="Arial" w:cs="Arial"/>
                <w:sz w:val="22"/>
                <w:szCs w:val="22"/>
              </w:rPr>
              <w:t xml:space="preserve"> de </w:t>
            </w:r>
            <w:proofErr w:type="spellStart"/>
            <w:r w:rsidRPr="00232B39">
              <w:rPr>
                <w:rFonts w:ascii="Arial" w:hAnsi="Arial" w:cs="Arial"/>
                <w:sz w:val="22"/>
                <w:szCs w:val="22"/>
              </w:rPr>
              <w:t>Usuarios</w:t>
            </w:r>
            <w:proofErr w:type="spellEnd"/>
            <w:r w:rsidRPr="00232B39">
              <w:rPr>
                <w:rFonts w:ascii="Arial" w:hAnsi="Arial" w:cs="Arial"/>
                <w:sz w:val="22"/>
                <w:szCs w:val="22"/>
              </w:rPr>
              <w:t xml:space="preserve"> de </w:t>
            </w:r>
            <w:proofErr w:type="spellStart"/>
            <w:r w:rsidRPr="00232B39">
              <w:rPr>
                <w:rFonts w:ascii="Arial" w:hAnsi="Arial" w:cs="Arial"/>
                <w:sz w:val="22"/>
                <w:szCs w:val="22"/>
              </w:rPr>
              <w:t>ServiciosBancarios</w:t>
            </w:r>
            <w:proofErr w:type="spellEnd"/>
            <w:r w:rsidRPr="00232B39">
              <w:rPr>
                <w:rFonts w:ascii="Arial" w:hAnsi="Arial" w:cs="Arial"/>
                <w:sz w:val="22"/>
                <w:szCs w:val="22"/>
              </w:rPr>
              <w:t xml:space="preserve"> (C-) [2006] E.C.R. I-11125, </w:t>
            </w:r>
            <w:hyperlink r:id="rId57" w:history="1">
              <w:r w:rsidRPr="00232B39">
                <w:rPr>
                  <w:rStyle w:val="Hyperlink"/>
                  <w:rFonts w:ascii="Arial" w:hAnsi="Arial" w:cs="Arial"/>
                  <w:sz w:val="22"/>
                  <w:szCs w:val="22"/>
                </w:rPr>
                <w:t>http://curia.europa.eu/juris/liste.jsf?language=en&amp;num=C-238/05</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Case 262/81, </w:t>
            </w:r>
            <w:proofErr w:type="spellStart"/>
            <w:r w:rsidRPr="00232B39">
              <w:rPr>
                <w:rFonts w:ascii="Arial" w:hAnsi="Arial" w:cs="Arial"/>
                <w:sz w:val="22"/>
                <w:szCs w:val="22"/>
              </w:rPr>
              <w:t>Coditel</w:t>
            </w:r>
            <w:proofErr w:type="spellEnd"/>
            <w:r w:rsidRPr="00232B39">
              <w:rPr>
                <w:rFonts w:ascii="Arial" w:hAnsi="Arial" w:cs="Arial"/>
                <w:sz w:val="22"/>
                <w:szCs w:val="22"/>
              </w:rPr>
              <w:t xml:space="preserve"> II [1982] E.C.R. 3381, </w:t>
            </w:r>
            <w:hyperlink r:id="rId58" w:history="1">
              <w:r w:rsidRPr="00232B39">
                <w:rPr>
                  <w:rStyle w:val="Hyperlink"/>
                  <w:rFonts w:ascii="Arial" w:hAnsi="Arial" w:cs="Arial"/>
                  <w:sz w:val="22"/>
                  <w:szCs w:val="22"/>
                </w:rPr>
                <w:t>http://eur-lex.europa.eu/legal-content/EL/TXT/?uri=CELEX%3A61981CJ0262</w:t>
              </w:r>
            </w:hyperlink>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t xml:space="preserve">Case 439/09 Pierre Fabre </w:t>
            </w:r>
            <w:proofErr w:type="spellStart"/>
            <w:r w:rsidRPr="00232B39">
              <w:rPr>
                <w:rFonts w:ascii="Arial" w:hAnsi="Arial" w:cs="Arial"/>
                <w:sz w:val="22"/>
                <w:szCs w:val="22"/>
                <w:lang w:val="fr-FR"/>
              </w:rPr>
              <w:t>Dermo</w:t>
            </w:r>
            <w:proofErr w:type="spellEnd"/>
            <w:r w:rsidRPr="00232B39">
              <w:rPr>
                <w:rFonts w:ascii="Arial" w:hAnsi="Arial" w:cs="Arial"/>
                <w:sz w:val="22"/>
                <w:szCs w:val="22"/>
                <w:lang w:val="fr-FR"/>
              </w:rPr>
              <w:t xml:space="preserve">-Cosmétique SAS v Président de l’Autorité de la concurrence and Ministre de l’Économie, de l’Industrie et de l’Emploi [2011] E.C.R. 9419, </w:t>
            </w:r>
            <w:hyperlink r:id="rId59" w:history="1">
              <w:r w:rsidRPr="00232B39">
                <w:rPr>
                  <w:rStyle w:val="Hyperlink"/>
                  <w:rFonts w:ascii="Arial" w:hAnsi="Arial" w:cs="Arial"/>
                  <w:sz w:val="22"/>
                  <w:szCs w:val="22"/>
                  <w:lang w:val="fr-FR"/>
                </w:rPr>
                <w:t>http://curia.europa.eu/juris/liste.jsf?language=en&amp;num=C-439/09</w:t>
              </w:r>
            </w:hyperlink>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t xml:space="preserve">Case 42/84, </w:t>
            </w:r>
            <w:proofErr w:type="spellStart"/>
            <w:r w:rsidRPr="00232B39">
              <w:rPr>
                <w:rFonts w:ascii="Arial" w:hAnsi="Arial" w:cs="Arial"/>
                <w:sz w:val="22"/>
                <w:szCs w:val="22"/>
                <w:lang w:val="fr-FR"/>
              </w:rPr>
              <w:t>Remia</w:t>
            </w:r>
            <w:proofErr w:type="spellEnd"/>
            <w:r w:rsidRPr="00232B39">
              <w:rPr>
                <w:rFonts w:ascii="Arial" w:hAnsi="Arial" w:cs="Arial"/>
                <w:sz w:val="22"/>
                <w:szCs w:val="22"/>
                <w:lang w:val="fr-FR"/>
              </w:rPr>
              <w:t xml:space="preserve"> BV v Commission [1985] E.C.R. 2545, </w:t>
            </w:r>
            <w:hyperlink r:id="rId60" w:history="1">
              <w:r w:rsidRPr="00232B39">
                <w:rPr>
                  <w:rStyle w:val="Hyperlink"/>
                  <w:rFonts w:ascii="Arial" w:hAnsi="Arial" w:cs="Arial"/>
                  <w:sz w:val="22"/>
                  <w:szCs w:val="22"/>
                  <w:lang w:val="fr-FR"/>
                </w:rPr>
                <w:t>http://eur-lex.europa.eu/legal-content/EN/TXT/?uri=CELEX%3A61984CJ0042</w:t>
              </w:r>
            </w:hyperlink>
          </w:p>
          <w:p w:rsidR="0004086D" w:rsidRPr="00232B39" w:rsidRDefault="0004086D" w:rsidP="0004086D">
            <w:pPr>
              <w:jc w:val="both"/>
              <w:rPr>
                <w:rFonts w:ascii="Arial" w:hAnsi="Arial" w:cs="Arial"/>
                <w:sz w:val="22"/>
                <w:szCs w:val="22"/>
                <w:lang w:val="fr-FR"/>
              </w:rPr>
            </w:pPr>
            <w:r w:rsidRPr="00232B39">
              <w:rPr>
                <w:rFonts w:ascii="Arial" w:hAnsi="Arial" w:cs="Arial"/>
                <w:sz w:val="22"/>
                <w:szCs w:val="22"/>
                <w:lang w:val="fr-FR"/>
              </w:rPr>
              <w:t xml:space="preserve">Case 161/84, </w:t>
            </w:r>
            <w:proofErr w:type="spellStart"/>
            <w:r w:rsidRPr="00232B39">
              <w:rPr>
                <w:rFonts w:ascii="Arial" w:hAnsi="Arial" w:cs="Arial"/>
                <w:sz w:val="22"/>
                <w:szCs w:val="22"/>
                <w:lang w:val="fr-FR"/>
              </w:rPr>
              <w:t>Pronuptia</w:t>
            </w:r>
            <w:proofErr w:type="spellEnd"/>
            <w:r w:rsidRPr="00232B39">
              <w:rPr>
                <w:rFonts w:ascii="Arial" w:hAnsi="Arial" w:cs="Arial"/>
                <w:sz w:val="22"/>
                <w:szCs w:val="22"/>
                <w:lang w:val="fr-FR"/>
              </w:rPr>
              <w:t xml:space="preserve"> de Paris </w:t>
            </w:r>
            <w:proofErr w:type="spellStart"/>
            <w:r w:rsidRPr="00232B39">
              <w:rPr>
                <w:rFonts w:ascii="Arial" w:hAnsi="Arial" w:cs="Arial"/>
                <w:sz w:val="22"/>
                <w:szCs w:val="22"/>
                <w:lang w:val="fr-FR"/>
              </w:rPr>
              <w:t>GmbH</w:t>
            </w:r>
            <w:proofErr w:type="spellEnd"/>
            <w:r w:rsidRPr="00232B39">
              <w:rPr>
                <w:rFonts w:ascii="Arial" w:hAnsi="Arial" w:cs="Arial"/>
                <w:sz w:val="22"/>
                <w:szCs w:val="22"/>
                <w:lang w:val="fr-FR"/>
              </w:rPr>
              <w:t xml:space="preserve"> v </w:t>
            </w:r>
            <w:proofErr w:type="spellStart"/>
            <w:r w:rsidRPr="00232B39">
              <w:rPr>
                <w:rFonts w:ascii="Arial" w:hAnsi="Arial" w:cs="Arial"/>
                <w:sz w:val="22"/>
                <w:szCs w:val="22"/>
                <w:lang w:val="fr-FR"/>
              </w:rPr>
              <w:t>Pronuptia</w:t>
            </w:r>
            <w:proofErr w:type="spellEnd"/>
            <w:r w:rsidRPr="00232B39">
              <w:rPr>
                <w:rFonts w:ascii="Arial" w:hAnsi="Arial" w:cs="Arial"/>
                <w:sz w:val="22"/>
                <w:szCs w:val="22"/>
                <w:lang w:val="fr-FR"/>
              </w:rPr>
              <w:t xml:space="preserve"> de Paris </w:t>
            </w:r>
            <w:proofErr w:type="spellStart"/>
            <w:r w:rsidRPr="00232B39">
              <w:rPr>
                <w:rFonts w:ascii="Arial" w:hAnsi="Arial" w:cs="Arial"/>
                <w:sz w:val="22"/>
                <w:szCs w:val="22"/>
                <w:lang w:val="fr-FR"/>
              </w:rPr>
              <w:t>IrmgardSchillgallis</w:t>
            </w:r>
            <w:proofErr w:type="spellEnd"/>
            <w:r w:rsidRPr="00232B39">
              <w:rPr>
                <w:rFonts w:ascii="Arial" w:hAnsi="Arial" w:cs="Arial"/>
                <w:sz w:val="22"/>
                <w:szCs w:val="22"/>
                <w:lang w:val="fr-FR"/>
              </w:rPr>
              <w:t xml:space="preserve">  [1986] E.C.R. 353, </w:t>
            </w:r>
            <w:hyperlink r:id="rId61" w:history="1">
              <w:r w:rsidRPr="00232B39">
                <w:rPr>
                  <w:rStyle w:val="Hyperlink"/>
                  <w:rFonts w:ascii="Arial" w:hAnsi="Arial" w:cs="Arial"/>
                  <w:sz w:val="22"/>
                  <w:szCs w:val="22"/>
                  <w:lang w:val="fr-FR"/>
                </w:rPr>
                <w:t>http://curia.europa.eu/juris/liste.jsf?language=en&amp;num=C-161/84</w:t>
              </w:r>
            </w:hyperlink>
          </w:p>
          <w:p w:rsidR="0004086D" w:rsidRPr="00232B39" w:rsidRDefault="0004086D" w:rsidP="0004086D">
            <w:pPr>
              <w:jc w:val="both"/>
              <w:rPr>
                <w:rFonts w:ascii="Arial" w:hAnsi="Arial" w:cs="Arial"/>
                <w:sz w:val="22"/>
                <w:szCs w:val="22"/>
                <w:lang w:val="it-IT"/>
              </w:rPr>
            </w:pPr>
            <w:r w:rsidRPr="00232B39">
              <w:rPr>
                <w:rFonts w:ascii="Arial" w:hAnsi="Arial" w:cs="Arial"/>
                <w:sz w:val="22"/>
                <w:szCs w:val="22"/>
                <w:lang w:val="it-IT"/>
              </w:rPr>
              <w:t xml:space="preserve">Case 219/95, Ferriere Nord v Commission [1997] E.C.R. I-4414, </w:t>
            </w:r>
            <w:r w:rsidR="00C26E20" w:rsidRPr="00232B39">
              <w:rPr>
                <w:rFonts w:ascii="Arial" w:hAnsi="Arial" w:cs="Arial"/>
                <w:sz w:val="22"/>
                <w:szCs w:val="22"/>
              </w:rPr>
              <w:fldChar w:fldCharType="begin"/>
            </w:r>
            <w:r w:rsidR="00DB0570" w:rsidRPr="00232B39">
              <w:rPr>
                <w:rFonts w:ascii="Arial" w:hAnsi="Arial" w:cs="Arial"/>
                <w:sz w:val="22"/>
                <w:szCs w:val="22"/>
                <w:lang w:val="it-IT"/>
              </w:rPr>
              <w:instrText xml:space="preserve"> HYPERLINK "http://curia.europa.eu/juris/liste.jsf?language=en&amp;num=C-219/95" </w:instrText>
            </w:r>
            <w:r w:rsidR="00C26E20" w:rsidRPr="00232B39">
              <w:rPr>
                <w:rFonts w:ascii="Arial" w:hAnsi="Arial" w:cs="Arial"/>
                <w:sz w:val="22"/>
                <w:szCs w:val="22"/>
              </w:rPr>
              <w:fldChar w:fldCharType="separate"/>
            </w:r>
            <w:r w:rsidRPr="00232B39">
              <w:rPr>
                <w:rStyle w:val="Hyperlink"/>
                <w:rFonts w:ascii="Arial" w:hAnsi="Arial" w:cs="Arial"/>
                <w:sz w:val="22"/>
                <w:szCs w:val="22"/>
                <w:lang w:val="it-IT"/>
              </w:rPr>
              <w:t>http://curia.europa.eu/juris/liste.jsf?language=en&amp;num=C-219/95</w:t>
            </w:r>
            <w:r w:rsidR="00C26E20" w:rsidRPr="00232B39">
              <w:rPr>
                <w:rStyle w:val="Hyperlink"/>
                <w:rFonts w:ascii="Arial" w:hAnsi="Arial" w:cs="Arial"/>
                <w:sz w:val="22"/>
                <w:szCs w:val="22"/>
              </w:rPr>
              <w:fldChar w:fldCharType="end"/>
            </w:r>
          </w:p>
          <w:p w:rsidR="00D92732" w:rsidRPr="00232B39" w:rsidRDefault="0004086D" w:rsidP="0004086D">
            <w:pPr>
              <w:jc w:val="both"/>
              <w:rPr>
                <w:rStyle w:val="Hyperlink"/>
                <w:rFonts w:ascii="Arial" w:hAnsi="Arial" w:cs="Arial"/>
                <w:sz w:val="22"/>
                <w:szCs w:val="22"/>
                <w:lang w:val="fr-FR"/>
              </w:rPr>
            </w:pPr>
            <w:r w:rsidRPr="00232B39">
              <w:rPr>
                <w:rFonts w:ascii="Arial" w:hAnsi="Arial" w:cs="Arial"/>
                <w:sz w:val="22"/>
                <w:szCs w:val="22"/>
                <w:lang w:val="fr-FR"/>
              </w:rPr>
              <w:t xml:space="preserve">Case 56/65, Société Technique Minière v </w:t>
            </w:r>
            <w:proofErr w:type="spellStart"/>
            <w:r w:rsidRPr="00232B39">
              <w:rPr>
                <w:rFonts w:ascii="Arial" w:hAnsi="Arial" w:cs="Arial"/>
                <w:sz w:val="22"/>
                <w:szCs w:val="22"/>
                <w:lang w:val="fr-FR"/>
              </w:rPr>
              <w:t>Maschinenbau</w:t>
            </w:r>
            <w:proofErr w:type="spellEnd"/>
            <w:r w:rsidRPr="00232B39">
              <w:rPr>
                <w:rFonts w:ascii="Arial" w:hAnsi="Arial" w:cs="Arial"/>
                <w:sz w:val="22"/>
                <w:szCs w:val="22"/>
                <w:lang w:val="fr-FR"/>
              </w:rPr>
              <w:t xml:space="preserve"> Ulm </w:t>
            </w:r>
            <w:proofErr w:type="spellStart"/>
            <w:r w:rsidRPr="00232B39">
              <w:rPr>
                <w:rFonts w:ascii="Arial" w:hAnsi="Arial" w:cs="Arial"/>
                <w:sz w:val="22"/>
                <w:szCs w:val="22"/>
                <w:lang w:val="fr-FR"/>
              </w:rPr>
              <w:t>GmbH</w:t>
            </w:r>
            <w:proofErr w:type="spellEnd"/>
            <w:r w:rsidRPr="00232B39">
              <w:rPr>
                <w:rFonts w:ascii="Arial" w:hAnsi="Arial" w:cs="Arial"/>
                <w:sz w:val="22"/>
                <w:szCs w:val="22"/>
                <w:lang w:val="fr-FR"/>
              </w:rPr>
              <w:t xml:space="preserve"> [1966] E.C.R. 235, </w:t>
            </w:r>
            <w:hyperlink r:id="rId62" w:history="1">
              <w:r w:rsidRPr="00232B39">
                <w:rPr>
                  <w:rStyle w:val="Hyperlink"/>
                  <w:rFonts w:ascii="Arial" w:hAnsi="Arial" w:cs="Arial"/>
                  <w:sz w:val="22"/>
                  <w:szCs w:val="22"/>
                  <w:lang w:val="fr-FR"/>
                </w:rPr>
                <w:t>http://curia.europa.eu/juris/liste.jsf?language=en&amp;num=C-56/65</w:t>
              </w:r>
            </w:hyperlink>
          </w:p>
          <w:p w:rsidR="00D92732" w:rsidRPr="00232B39" w:rsidRDefault="00D92732" w:rsidP="0004086D">
            <w:pPr>
              <w:jc w:val="both"/>
              <w:rPr>
                <w:rFonts w:ascii="Arial" w:hAnsi="Arial" w:cs="Arial"/>
                <w:sz w:val="22"/>
                <w:szCs w:val="22"/>
              </w:rPr>
            </w:pPr>
            <w:r w:rsidRPr="00232B39">
              <w:rPr>
                <w:rFonts w:ascii="Arial" w:hAnsi="Arial" w:cs="Arial"/>
                <w:sz w:val="22"/>
                <w:szCs w:val="22"/>
              </w:rPr>
              <w:t xml:space="preserve">COMP/M.2337 – </w:t>
            </w:r>
            <w:proofErr w:type="spellStart"/>
            <w:r w:rsidRPr="00232B39">
              <w:rPr>
                <w:rFonts w:ascii="Arial" w:hAnsi="Arial" w:cs="Arial"/>
                <w:sz w:val="22"/>
                <w:szCs w:val="22"/>
              </w:rPr>
              <w:t>Néstlé</w:t>
            </w:r>
            <w:proofErr w:type="spellEnd"/>
            <w:r w:rsidRPr="00232B39">
              <w:rPr>
                <w:rFonts w:ascii="Arial" w:hAnsi="Arial" w:cs="Arial"/>
                <w:sz w:val="22"/>
                <w:szCs w:val="22"/>
              </w:rPr>
              <w:t>/</w:t>
            </w:r>
            <w:proofErr w:type="spellStart"/>
            <w:r w:rsidRPr="00232B39">
              <w:rPr>
                <w:rFonts w:ascii="Arial" w:hAnsi="Arial" w:cs="Arial"/>
                <w:sz w:val="22"/>
                <w:szCs w:val="22"/>
              </w:rPr>
              <w:t>RalstonPurina</w:t>
            </w:r>
            <w:proofErr w:type="spellEnd"/>
            <w:r w:rsidRPr="00232B39">
              <w:rPr>
                <w:rFonts w:ascii="Arial" w:hAnsi="Arial" w:cs="Arial"/>
                <w:sz w:val="22"/>
                <w:szCs w:val="22"/>
              </w:rPr>
              <w:t xml:space="preserve">,  </w:t>
            </w:r>
            <w:hyperlink r:id="rId63" w:history="1">
              <w:r w:rsidRPr="00232B39">
                <w:rPr>
                  <w:rStyle w:val="Hyperlink"/>
                  <w:rFonts w:ascii="Arial" w:hAnsi="Arial" w:cs="Arial"/>
                  <w:sz w:val="22"/>
                  <w:szCs w:val="22"/>
                </w:rPr>
                <w:t>http://ec.europa.eu/competition/mergers/cases/decisions/m2337_en.pdf</w:t>
              </w:r>
            </w:hyperlink>
          </w:p>
          <w:p w:rsidR="00D92732" w:rsidRPr="00232B39" w:rsidRDefault="00D92732" w:rsidP="0004086D">
            <w:pPr>
              <w:jc w:val="both"/>
              <w:rPr>
                <w:rFonts w:ascii="Arial" w:hAnsi="Arial" w:cs="Arial"/>
                <w:sz w:val="22"/>
                <w:szCs w:val="22"/>
              </w:rPr>
            </w:pPr>
            <w:r w:rsidRPr="00232B39">
              <w:rPr>
                <w:rFonts w:ascii="Arial" w:hAnsi="Arial" w:cs="Arial"/>
                <w:sz w:val="22"/>
                <w:szCs w:val="22"/>
              </w:rPr>
              <w:t xml:space="preserve">IV/M.1221 – </w:t>
            </w:r>
            <w:proofErr w:type="spellStart"/>
            <w:r w:rsidRPr="00232B39">
              <w:rPr>
                <w:rFonts w:ascii="Arial" w:hAnsi="Arial" w:cs="Arial"/>
                <w:sz w:val="22"/>
                <w:szCs w:val="22"/>
              </w:rPr>
              <w:t>Rewe</w:t>
            </w:r>
            <w:proofErr w:type="spellEnd"/>
            <w:r w:rsidRPr="00232B39">
              <w:rPr>
                <w:rFonts w:ascii="Arial" w:hAnsi="Arial" w:cs="Arial"/>
                <w:sz w:val="22"/>
                <w:szCs w:val="22"/>
              </w:rPr>
              <w:t>/</w:t>
            </w:r>
            <w:proofErr w:type="spellStart"/>
            <w:r w:rsidRPr="00232B39">
              <w:rPr>
                <w:rFonts w:ascii="Arial" w:hAnsi="Arial" w:cs="Arial"/>
                <w:sz w:val="22"/>
                <w:szCs w:val="22"/>
              </w:rPr>
              <w:t>Meinl</w:t>
            </w:r>
            <w:proofErr w:type="spellEnd"/>
            <w:r w:rsidRPr="00232B39">
              <w:rPr>
                <w:rFonts w:ascii="Arial" w:hAnsi="Arial" w:cs="Arial"/>
                <w:sz w:val="22"/>
                <w:szCs w:val="22"/>
              </w:rPr>
              <w:t xml:space="preserve">, </w:t>
            </w:r>
            <w:hyperlink r:id="rId64" w:history="1">
              <w:r w:rsidRPr="00232B39">
                <w:rPr>
                  <w:rStyle w:val="Hyperlink"/>
                  <w:rFonts w:ascii="Arial" w:hAnsi="Arial" w:cs="Arial"/>
                  <w:sz w:val="22"/>
                  <w:szCs w:val="22"/>
                </w:rPr>
                <w:t>http://ec.europa.eu/competition/mergers/cases/decisions/m1221_19990203_600_en.pdf</w:t>
              </w:r>
            </w:hyperlink>
          </w:p>
          <w:p w:rsidR="00D92732" w:rsidRPr="00232B39" w:rsidRDefault="00D92732" w:rsidP="0004086D">
            <w:pPr>
              <w:jc w:val="both"/>
              <w:rPr>
                <w:rFonts w:ascii="Arial" w:hAnsi="Arial" w:cs="Arial"/>
                <w:sz w:val="22"/>
                <w:szCs w:val="22"/>
              </w:rPr>
            </w:pPr>
            <w:r w:rsidRPr="00232B39">
              <w:rPr>
                <w:rFonts w:ascii="Arial" w:hAnsi="Arial" w:cs="Arial"/>
                <w:sz w:val="22"/>
                <w:szCs w:val="22"/>
              </w:rPr>
              <w:t xml:space="preserve">M.337 </w:t>
            </w:r>
            <w:proofErr w:type="spellStart"/>
            <w:r w:rsidRPr="00232B39">
              <w:rPr>
                <w:rFonts w:ascii="Arial" w:hAnsi="Arial" w:cs="Arial"/>
                <w:sz w:val="22"/>
                <w:szCs w:val="22"/>
              </w:rPr>
              <w:t>Knorr-Bremse</w:t>
            </w:r>
            <w:proofErr w:type="spellEnd"/>
            <w:r w:rsidRPr="00232B39">
              <w:rPr>
                <w:rFonts w:ascii="Arial" w:hAnsi="Arial" w:cs="Arial"/>
                <w:sz w:val="22"/>
                <w:szCs w:val="22"/>
              </w:rPr>
              <w:t xml:space="preserve">/Allied Signal,  </w:t>
            </w:r>
            <w:hyperlink r:id="rId65" w:history="1">
              <w:r w:rsidRPr="00232B39">
                <w:rPr>
                  <w:rStyle w:val="Hyperlink"/>
                  <w:rFonts w:ascii="Arial" w:hAnsi="Arial" w:cs="Arial"/>
                  <w:sz w:val="22"/>
                  <w:szCs w:val="22"/>
                </w:rPr>
                <w:t>http://ec.europa.eu/competition/mergers/cases/decisions/m337_en.pdf</w:t>
              </w:r>
            </w:hyperlink>
          </w:p>
          <w:p w:rsidR="00F61FBB" w:rsidRPr="00232B39" w:rsidRDefault="00C37B74" w:rsidP="0004086D">
            <w:pPr>
              <w:jc w:val="both"/>
              <w:rPr>
                <w:rFonts w:ascii="Arial" w:hAnsi="Arial" w:cs="Arial"/>
                <w:sz w:val="22"/>
                <w:szCs w:val="22"/>
                <w:lang w:val="fr-FR"/>
              </w:rPr>
            </w:pPr>
            <w:r w:rsidRPr="00232B39">
              <w:rPr>
                <w:rFonts w:ascii="Arial" w:hAnsi="Arial" w:cs="Arial"/>
                <w:sz w:val="22"/>
                <w:szCs w:val="22"/>
                <w:lang w:val="fr-FR"/>
              </w:rPr>
              <w:t>IV/</w:t>
            </w:r>
            <w:r w:rsidR="00F61FBB" w:rsidRPr="00232B39">
              <w:rPr>
                <w:rFonts w:ascii="Arial" w:hAnsi="Arial" w:cs="Arial"/>
                <w:sz w:val="22"/>
                <w:szCs w:val="22"/>
              </w:rPr>
              <w:t>Μ</w:t>
            </w:r>
            <w:r w:rsidR="00F61FBB" w:rsidRPr="00232B39">
              <w:rPr>
                <w:rFonts w:ascii="Arial" w:hAnsi="Arial" w:cs="Arial"/>
                <w:sz w:val="22"/>
                <w:szCs w:val="22"/>
                <w:lang w:val="fr-FR"/>
              </w:rPr>
              <w:t>. 1684, Carrefour/</w:t>
            </w:r>
            <w:proofErr w:type="spellStart"/>
            <w:r w:rsidR="00F61FBB" w:rsidRPr="00232B39">
              <w:rPr>
                <w:rFonts w:ascii="Arial" w:hAnsi="Arial" w:cs="Arial"/>
                <w:sz w:val="22"/>
                <w:szCs w:val="22"/>
                <w:lang w:val="fr-FR"/>
              </w:rPr>
              <w:t>Promodes</w:t>
            </w:r>
            <w:proofErr w:type="spellEnd"/>
            <w:r w:rsidR="00F61FBB" w:rsidRPr="00232B39">
              <w:rPr>
                <w:rFonts w:ascii="Arial" w:hAnsi="Arial" w:cs="Arial"/>
                <w:sz w:val="22"/>
                <w:szCs w:val="22"/>
                <w:lang w:val="fr-FR"/>
              </w:rPr>
              <w:t xml:space="preserve">,25.01.2000, </w:t>
            </w:r>
            <w:hyperlink r:id="rId66" w:anchor="m_1684" w:history="1">
              <w:r w:rsidR="00F61FBB" w:rsidRPr="00232B39">
                <w:rPr>
                  <w:rStyle w:val="Hyperlink"/>
                  <w:rFonts w:ascii="Arial" w:hAnsi="Arial" w:cs="Arial"/>
                  <w:sz w:val="22"/>
                  <w:szCs w:val="22"/>
                  <w:lang w:val="fr-FR"/>
                </w:rPr>
                <w:t>http://europe.eu.int/comm/competition/mergers//index/m33.html#m_1684</w:t>
              </w:r>
            </w:hyperlink>
          </w:p>
          <w:p w:rsidR="00F61FBB" w:rsidRPr="00232B39" w:rsidRDefault="00C37B74" w:rsidP="0004086D">
            <w:pPr>
              <w:jc w:val="both"/>
              <w:rPr>
                <w:rFonts w:ascii="Arial" w:hAnsi="Arial" w:cs="Arial"/>
                <w:sz w:val="22"/>
                <w:szCs w:val="22"/>
                <w:lang w:val="fr-FR"/>
              </w:rPr>
            </w:pPr>
            <w:r w:rsidRPr="00232B39">
              <w:rPr>
                <w:rFonts w:ascii="Arial" w:hAnsi="Arial" w:cs="Arial"/>
                <w:sz w:val="22"/>
                <w:szCs w:val="22"/>
                <w:lang w:val="fr-FR"/>
              </w:rPr>
              <w:t>IV/</w:t>
            </w:r>
            <w:r w:rsidR="00F61FBB" w:rsidRPr="00232B39">
              <w:rPr>
                <w:rFonts w:ascii="Arial" w:hAnsi="Arial" w:cs="Arial"/>
                <w:sz w:val="22"/>
                <w:szCs w:val="22"/>
              </w:rPr>
              <w:t>Μ</w:t>
            </w:r>
            <w:r w:rsidR="00F61FBB" w:rsidRPr="00232B39">
              <w:rPr>
                <w:rFonts w:ascii="Arial" w:hAnsi="Arial" w:cs="Arial"/>
                <w:sz w:val="22"/>
                <w:szCs w:val="22"/>
                <w:lang w:val="fr-FR"/>
              </w:rPr>
              <w:t xml:space="preserve">. 619, </w:t>
            </w:r>
            <w:proofErr w:type="spellStart"/>
            <w:r w:rsidR="00F61FBB" w:rsidRPr="00232B39">
              <w:rPr>
                <w:rFonts w:ascii="Arial" w:hAnsi="Arial" w:cs="Arial"/>
                <w:sz w:val="22"/>
                <w:szCs w:val="22"/>
                <w:lang w:val="fr-FR"/>
              </w:rPr>
              <w:t>Gencor</w:t>
            </w:r>
            <w:proofErr w:type="spellEnd"/>
            <w:r w:rsidR="00F61FBB" w:rsidRPr="00232B39">
              <w:rPr>
                <w:rFonts w:ascii="Arial" w:hAnsi="Arial" w:cs="Arial"/>
                <w:sz w:val="22"/>
                <w:szCs w:val="22"/>
                <w:lang w:val="fr-FR"/>
              </w:rPr>
              <w:t>/</w:t>
            </w:r>
            <w:proofErr w:type="spellStart"/>
            <w:r w:rsidR="00F61FBB" w:rsidRPr="00232B39">
              <w:rPr>
                <w:rFonts w:ascii="Arial" w:hAnsi="Arial" w:cs="Arial"/>
                <w:sz w:val="22"/>
                <w:szCs w:val="22"/>
                <w:lang w:val="fr-FR"/>
              </w:rPr>
              <w:t>Lonrho</w:t>
            </w:r>
            <w:proofErr w:type="spellEnd"/>
            <w:r w:rsidR="00F61FBB" w:rsidRPr="00232B39">
              <w:rPr>
                <w:rFonts w:ascii="Arial" w:hAnsi="Arial" w:cs="Arial"/>
                <w:sz w:val="22"/>
                <w:szCs w:val="22"/>
                <w:lang w:val="fr-FR"/>
              </w:rPr>
              <w:t xml:space="preserve">, </w:t>
            </w:r>
            <w:r w:rsidR="00F61FBB" w:rsidRPr="00232B39">
              <w:rPr>
                <w:rFonts w:ascii="Arial" w:hAnsi="Arial" w:cs="Arial"/>
                <w:sz w:val="22"/>
                <w:szCs w:val="22"/>
              </w:rPr>
              <w:t>ΕΕ</w:t>
            </w:r>
            <w:r w:rsidR="00F61FBB" w:rsidRPr="00232B39">
              <w:rPr>
                <w:rFonts w:ascii="Arial" w:hAnsi="Arial" w:cs="Arial"/>
                <w:sz w:val="22"/>
                <w:szCs w:val="22"/>
                <w:lang w:val="fr-FR"/>
              </w:rPr>
              <w:t xml:space="preserve"> 1997, L 11/30</w:t>
            </w:r>
            <w:r w:rsidRPr="00232B39">
              <w:rPr>
                <w:rFonts w:ascii="Arial" w:hAnsi="Arial" w:cs="Arial"/>
                <w:sz w:val="22"/>
                <w:szCs w:val="22"/>
                <w:lang w:val="fr-FR"/>
              </w:rPr>
              <w:t xml:space="preserve">, </w:t>
            </w:r>
            <w:hyperlink r:id="rId67" w:history="1">
              <w:r w:rsidRPr="00232B39">
                <w:rPr>
                  <w:rStyle w:val="Hyperlink"/>
                  <w:rFonts w:ascii="Arial" w:hAnsi="Arial" w:cs="Arial"/>
                  <w:sz w:val="22"/>
                  <w:szCs w:val="22"/>
                  <w:lang w:val="fr-FR"/>
                </w:rPr>
                <w:t>http://ec.europa.eu/competition/mergers/cases/decisions/m619_en.pdf</w:t>
              </w:r>
            </w:hyperlink>
          </w:p>
          <w:p w:rsidR="00F61FBB" w:rsidRPr="00232B39" w:rsidRDefault="00C37B74" w:rsidP="0004086D">
            <w:pPr>
              <w:jc w:val="both"/>
              <w:rPr>
                <w:rFonts w:ascii="Arial" w:hAnsi="Arial" w:cs="Arial"/>
                <w:sz w:val="22"/>
                <w:szCs w:val="22"/>
                <w:lang w:val="fr-FR"/>
              </w:rPr>
            </w:pPr>
            <w:r w:rsidRPr="00232B39">
              <w:rPr>
                <w:rFonts w:ascii="Arial" w:hAnsi="Arial" w:cs="Arial"/>
                <w:sz w:val="22"/>
                <w:szCs w:val="22"/>
                <w:lang w:val="fr-FR"/>
              </w:rPr>
              <w:t>IV/</w:t>
            </w:r>
            <w:r w:rsidR="00F61FBB" w:rsidRPr="00232B39">
              <w:rPr>
                <w:rFonts w:ascii="Arial" w:hAnsi="Arial" w:cs="Arial"/>
                <w:sz w:val="22"/>
                <w:szCs w:val="22"/>
              </w:rPr>
              <w:t>Μ</w:t>
            </w:r>
            <w:r w:rsidR="00F61FBB" w:rsidRPr="00232B39">
              <w:rPr>
                <w:rFonts w:ascii="Arial" w:hAnsi="Arial" w:cs="Arial"/>
                <w:sz w:val="22"/>
                <w:szCs w:val="22"/>
                <w:lang w:val="fr-FR"/>
              </w:rPr>
              <w:t>. 190, Nestlé/Perrier, EE 1992, L 356/1</w:t>
            </w:r>
            <w:r w:rsidRPr="00232B39">
              <w:rPr>
                <w:rFonts w:ascii="Arial" w:hAnsi="Arial" w:cs="Arial"/>
                <w:sz w:val="22"/>
                <w:szCs w:val="22"/>
                <w:lang w:val="fr-FR"/>
              </w:rPr>
              <w:t xml:space="preserve">, </w:t>
            </w:r>
            <w:hyperlink r:id="rId68" w:history="1">
              <w:r w:rsidRPr="00232B39">
                <w:rPr>
                  <w:rStyle w:val="Hyperlink"/>
                  <w:rFonts w:ascii="Arial" w:hAnsi="Arial" w:cs="Arial"/>
                  <w:sz w:val="22"/>
                  <w:szCs w:val="22"/>
                  <w:lang w:val="fr-FR"/>
                </w:rPr>
                <w:t>http://eur-lex.europa.eu/legal-content/EN/TXT/?uri=CELEX%3A31992D0553</w:t>
              </w:r>
            </w:hyperlink>
          </w:p>
          <w:p w:rsidR="00F61FBB" w:rsidRPr="00232B39" w:rsidRDefault="00F61FBB" w:rsidP="0004086D">
            <w:pPr>
              <w:jc w:val="both"/>
              <w:rPr>
                <w:rFonts w:ascii="Arial" w:hAnsi="Arial" w:cs="Arial"/>
                <w:sz w:val="22"/>
                <w:szCs w:val="22"/>
                <w:lang w:val="el-GR"/>
              </w:rPr>
            </w:pPr>
            <w:r w:rsidRPr="00232B39">
              <w:rPr>
                <w:rFonts w:ascii="Arial" w:hAnsi="Arial" w:cs="Arial"/>
                <w:sz w:val="22"/>
                <w:szCs w:val="22"/>
                <w:lang w:val="el-GR"/>
              </w:rPr>
              <w:t xml:space="preserve">Απόφαση 97/610/ΕΚ της Επιτροπής στην υπόθεση Μ.774 – </w:t>
            </w:r>
            <w:r w:rsidRPr="00232B39">
              <w:rPr>
                <w:rFonts w:ascii="Arial" w:hAnsi="Arial" w:cs="Arial"/>
                <w:sz w:val="22"/>
                <w:szCs w:val="22"/>
              </w:rPr>
              <w:t>Saint</w:t>
            </w:r>
            <w:r w:rsidRPr="00232B39">
              <w:rPr>
                <w:rFonts w:ascii="Arial" w:hAnsi="Arial" w:cs="Arial"/>
                <w:sz w:val="22"/>
                <w:szCs w:val="22"/>
                <w:lang w:val="el-GR"/>
              </w:rPr>
              <w:t>-</w:t>
            </w:r>
            <w:proofErr w:type="spellStart"/>
            <w:r w:rsidRPr="00232B39">
              <w:rPr>
                <w:rFonts w:ascii="Arial" w:hAnsi="Arial" w:cs="Arial"/>
                <w:sz w:val="22"/>
                <w:szCs w:val="22"/>
              </w:rPr>
              <w:t>Gobain</w:t>
            </w:r>
            <w:proofErr w:type="spellEnd"/>
            <w:r w:rsidRPr="00232B39">
              <w:rPr>
                <w:rFonts w:ascii="Arial" w:hAnsi="Arial" w:cs="Arial"/>
                <w:sz w:val="22"/>
                <w:szCs w:val="22"/>
                <w:lang w:val="el-GR"/>
              </w:rPr>
              <w:t>/</w:t>
            </w:r>
            <w:proofErr w:type="spellStart"/>
            <w:r w:rsidRPr="00232B39">
              <w:rPr>
                <w:rFonts w:ascii="Arial" w:hAnsi="Arial" w:cs="Arial"/>
                <w:sz w:val="22"/>
                <w:szCs w:val="22"/>
              </w:rPr>
              <w:t>Wacker</w:t>
            </w:r>
            <w:proofErr w:type="spellEnd"/>
            <w:r w:rsidRPr="00232B39">
              <w:rPr>
                <w:rFonts w:ascii="Arial" w:hAnsi="Arial" w:cs="Arial"/>
                <w:sz w:val="22"/>
                <w:szCs w:val="22"/>
                <w:lang w:val="el-GR"/>
              </w:rPr>
              <w:t>-</w:t>
            </w:r>
            <w:proofErr w:type="spellStart"/>
            <w:r w:rsidRPr="00232B39">
              <w:rPr>
                <w:rFonts w:ascii="Arial" w:hAnsi="Arial" w:cs="Arial"/>
                <w:sz w:val="22"/>
                <w:szCs w:val="22"/>
              </w:rPr>
              <w:t>Chemie</w:t>
            </w:r>
            <w:proofErr w:type="spellEnd"/>
            <w:r w:rsidRPr="00232B39">
              <w:rPr>
                <w:rFonts w:ascii="Arial" w:hAnsi="Arial" w:cs="Arial"/>
                <w:sz w:val="22"/>
                <w:szCs w:val="22"/>
                <w:lang w:val="el-GR"/>
              </w:rPr>
              <w:t>/</w:t>
            </w:r>
            <w:r w:rsidRPr="00232B39">
              <w:rPr>
                <w:rFonts w:ascii="Arial" w:hAnsi="Arial" w:cs="Arial"/>
                <w:sz w:val="22"/>
                <w:szCs w:val="22"/>
              </w:rPr>
              <w:t>NOM</w:t>
            </w:r>
            <w:r w:rsidRPr="00232B39">
              <w:rPr>
                <w:rFonts w:ascii="Arial" w:hAnsi="Arial" w:cs="Arial"/>
                <w:sz w:val="22"/>
                <w:szCs w:val="22"/>
                <w:lang w:val="el-GR"/>
              </w:rPr>
              <w:t xml:space="preserve">, </w:t>
            </w:r>
            <w:r w:rsidRPr="00232B39">
              <w:rPr>
                <w:rFonts w:ascii="Arial" w:hAnsi="Arial" w:cs="Arial"/>
                <w:sz w:val="22"/>
                <w:szCs w:val="22"/>
              </w:rPr>
              <w:t>EEL</w:t>
            </w:r>
            <w:r w:rsidRPr="00232B39">
              <w:rPr>
                <w:rFonts w:ascii="Arial" w:hAnsi="Arial" w:cs="Arial"/>
                <w:sz w:val="22"/>
                <w:szCs w:val="22"/>
                <w:lang w:val="el-GR"/>
              </w:rPr>
              <w:t xml:space="preserve"> 247 της 10.09.1997, σελ. 1</w:t>
            </w:r>
            <w:r w:rsidR="00C37B74" w:rsidRPr="00232B39">
              <w:rPr>
                <w:rFonts w:ascii="Arial" w:hAnsi="Arial" w:cs="Arial"/>
                <w:sz w:val="22"/>
                <w:szCs w:val="22"/>
                <w:lang w:val="el-GR"/>
              </w:rPr>
              <w:t xml:space="preserve">, </w:t>
            </w:r>
            <w:hyperlink r:id="rId69" w:history="1">
              <w:r w:rsidR="00C37B74" w:rsidRPr="00232B39">
                <w:rPr>
                  <w:rStyle w:val="Hyperlink"/>
                  <w:rFonts w:ascii="Arial" w:hAnsi="Arial" w:cs="Arial"/>
                  <w:sz w:val="22"/>
                  <w:szCs w:val="22"/>
                </w:rPr>
                <w:t>http</w:t>
              </w:r>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eur</w:t>
              </w:r>
              <w:proofErr w:type="spellEnd"/>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lex</w:t>
              </w:r>
              <w:proofErr w:type="spellEnd"/>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europa</w:t>
              </w:r>
              <w:proofErr w:type="spellEnd"/>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eu</w:t>
              </w:r>
              <w:proofErr w:type="spellEnd"/>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legal</w:t>
              </w:r>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content</w:t>
              </w:r>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EN</w:t>
              </w:r>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TXT</w:t>
              </w:r>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uri</w:t>
              </w:r>
              <w:proofErr w:type="spellEnd"/>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CELEX</w:t>
              </w:r>
              <w:r w:rsidR="00C37B74" w:rsidRPr="00232B39">
                <w:rPr>
                  <w:rStyle w:val="Hyperlink"/>
                  <w:rFonts w:ascii="Arial" w:hAnsi="Arial" w:cs="Arial"/>
                  <w:sz w:val="22"/>
                  <w:szCs w:val="22"/>
                  <w:lang w:val="el-GR"/>
                </w:rPr>
                <w:t>%3</w:t>
              </w:r>
              <w:r w:rsidR="00C37B74" w:rsidRPr="00232B39">
                <w:rPr>
                  <w:rStyle w:val="Hyperlink"/>
                  <w:rFonts w:ascii="Arial" w:hAnsi="Arial" w:cs="Arial"/>
                  <w:sz w:val="22"/>
                  <w:szCs w:val="22"/>
                </w:rPr>
                <w:t>A</w:t>
              </w:r>
              <w:r w:rsidR="00C37B74" w:rsidRPr="00232B39">
                <w:rPr>
                  <w:rStyle w:val="Hyperlink"/>
                  <w:rFonts w:ascii="Arial" w:hAnsi="Arial" w:cs="Arial"/>
                  <w:sz w:val="22"/>
                  <w:szCs w:val="22"/>
                  <w:lang w:val="el-GR"/>
                </w:rPr>
                <w:t>31997</w:t>
              </w:r>
              <w:r w:rsidR="00C37B74" w:rsidRPr="00232B39">
                <w:rPr>
                  <w:rStyle w:val="Hyperlink"/>
                  <w:rFonts w:ascii="Arial" w:hAnsi="Arial" w:cs="Arial"/>
                  <w:sz w:val="22"/>
                  <w:szCs w:val="22"/>
                </w:rPr>
                <w:t>D</w:t>
              </w:r>
              <w:r w:rsidR="00C37B74" w:rsidRPr="00232B39">
                <w:rPr>
                  <w:rStyle w:val="Hyperlink"/>
                  <w:rFonts w:ascii="Arial" w:hAnsi="Arial" w:cs="Arial"/>
                  <w:sz w:val="22"/>
                  <w:szCs w:val="22"/>
                  <w:lang w:val="el-GR"/>
                </w:rPr>
                <w:t>0610</w:t>
              </w:r>
            </w:hyperlink>
          </w:p>
          <w:p w:rsidR="00F61FBB" w:rsidRPr="00232B39" w:rsidRDefault="00F61FBB" w:rsidP="0004086D">
            <w:pPr>
              <w:jc w:val="both"/>
              <w:rPr>
                <w:rFonts w:ascii="Arial" w:hAnsi="Arial" w:cs="Arial"/>
                <w:sz w:val="22"/>
                <w:szCs w:val="22"/>
                <w:lang w:val="el-GR"/>
              </w:rPr>
            </w:pPr>
            <w:r w:rsidRPr="00232B39">
              <w:rPr>
                <w:rFonts w:ascii="Arial" w:hAnsi="Arial" w:cs="Arial"/>
                <w:sz w:val="22"/>
                <w:szCs w:val="22"/>
                <w:lang w:val="el-GR"/>
              </w:rPr>
              <w:t xml:space="preserve">Απόφαση 94/811/ΕΚ της Επιτροπής στην υπόθεση Μ.269 – </w:t>
            </w:r>
            <w:r w:rsidRPr="00232B39">
              <w:rPr>
                <w:rFonts w:ascii="Arial" w:hAnsi="Arial" w:cs="Arial"/>
                <w:sz w:val="22"/>
                <w:szCs w:val="22"/>
              </w:rPr>
              <w:t>Shell</w:t>
            </w:r>
            <w:r w:rsidRPr="00232B39">
              <w:rPr>
                <w:rFonts w:ascii="Arial" w:hAnsi="Arial" w:cs="Arial"/>
                <w:sz w:val="22"/>
                <w:szCs w:val="22"/>
                <w:lang w:val="el-GR"/>
              </w:rPr>
              <w:t>/</w:t>
            </w:r>
            <w:proofErr w:type="spellStart"/>
            <w:r w:rsidRPr="00232B39">
              <w:rPr>
                <w:rFonts w:ascii="Arial" w:hAnsi="Arial" w:cs="Arial"/>
                <w:sz w:val="22"/>
                <w:szCs w:val="22"/>
              </w:rPr>
              <w:t>Montecatini</w:t>
            </w:r>
            <w:proofErr w:type="spellEnd"/>
            <w:r w:rsidRPr="00232B39">
              <w:rPr>
                <w:rFonts w:ascii="Arial" w:hAnsi="Arial" w:cs="Arial"/>
                <w:sz w:val="22"/>
                <w:szCs w:val="22"/>
                <w:lang w:val="el-GR"/>
              </w:rPr>
              <w:t xml:space="preserve">, </w:t>
            </w:r>
            <w:r w:rsidRPr="00232B39">
              <w:rPr>
                <w:rFonts w:ascii="Arial" w:hAnsi="Arial" w:cs="Arial"/>
                <w:sz w:val="22"/>
                <w:szCs w:val="22"/>
              </w:rPr>
              <w:t>EEL</w:t>
            </w:r>
            <w:r w:rsidRPr="00232B39">
              <w:rPr>
                <w:rFonts w:ascii="Arial" w:hAnsi="Arial" w:cs="Arial"/>
                <w:sz w:val="22"/>
                <w:szCs w:val="22"/>
                <w:lang w:val="el-GR"/>
              </w:rPr>
              <w:t xml:space="preserve"> 332 της 22.12.1994, σελ. 48</w:t>
            </w:r>
            <w:r w:rsidR="00C37B74" w:rsidRPr="00232B39">
              <w:rPr>
                <w:rFonts w:ascii="Arial" w:hAnsi="Arial" w:cs="Arial"/>
                <w:sz w:val="22"/>
                <w:szCs w:val="22"/>
                <w:lang w:val="el-GR"/>
              </w:rPr>
              <w:t xml:space="preserve">, </w:t>
            </w:r>
            <w:hyperlink r:id="rId70" w:history="1">
              <w:r w:rsidR="00C37B74" w:rsidRPr="00232B39">
                <w:rPr>
                  <w:rStyle w:val="Hyperlink"/>
                  <w:rFonts w:ascii="Arial" w:hAnsi="Arial" w:cs="Arial"/>
                  <w:sz w:val="22"/>
                  <w:szCs w:val="22"/>
                </w:rPr>
                <w:t>http</w:t>
              </w:r>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eur</w:t>
              </w:r>
              <w:proofErr w:type="spellEnd"/>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lex</w:t>
              </w:r>
              <w:proofErr w:type="spellEnd"/>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europa</w:t>
              </w:r>
              <w:proofErr w:type="spellEnd"/>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eu</w:t>
              </w:r>
              <w:proofErr w:type="spellEnd"/>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legal</w:t>
              </w:r>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content</w:t>
              </w:r>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EL</w:t>
              </w:r>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TXT</w:t>
              </w:r>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uri</w:t>
              </w:r>
              <w:proofErr w:type="spellEnd"/>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CELEX</w:t>
              </w:r>
              <w:r w:rsidR="00C37B74" w:rsidRPr="00232B39">
                <w:rPr>
                  <w:rStyle w:val="Hyperlink"/>
                  <w:rFonts w:ascii="Arial" w:hAnsi="Arial" w:cs="Arial"/>
                  <w:sz w:val="22"/>
                  <w:szCs w:val="22"/>
                  <w:lang w:val="el-GR"/>
                </w:rPr>
                <w:t>:31994</w:t>
              </w:r>
              <w:r w:rsidR="00C37B74" w:rsidRPr="00232B39">
                <w:rPr>
                  <w:rStyle w:val="Hyperlink"/>
                  <w:rFonts w:ascii="Arial" w:hAnsi="Arial" w:cs="Arial"/>
                  <w:sz w:val="22"/>
                  <w:szCs w:val="22"/>
                </w:rPr>
                <w:t>D</w:t>
              </w:r>
              <w:r w:rsidR="00C37B74" w:rsidRPr="00232B39">
                <w:rPr>
                  <w:rStyle w:val="Hyperlink"/>
                  <w:rFonts w:ascii="Arial" w:hAnsi="Arial" w:cs="Arial"/>
                  <w:sz w:val="22"/>
                  <w:szCs w:val="22"/>
                  <w:lang w:val="el-GR"/>
                </w:rPr>
                <w:t>0811</w:t>
              </w:r>
            </w:hyperlink>
          </w:p>
          <w:p w:rsidR="00F61FBB" w:rsidRPr="00232B39" w:rsidRDefault="00F61FBB" w:rsidP="0004086D">
            <w:pPr>
              <w:jc w:val="both"/>
              <w:rPr>
                <w:rFonts w:ascii="Arial" w:hAnsi="Arial" w:cs="Arial"/>
                <w:sz w:val="22"/>
                <w:szCs w:val="22"/>
                <w:lang w:val="el-GR"/>
              </w:rPr>
            </w:pPr>
            <w:r w:rsidRPr="00232B39">
              <w:rPr>
                <w:rFonts w:ascii="Arial" w:hAnsi="Arial" w:cs="Arial"/>
                <w:sz w:val="22"/>
                <w:szCs w:val="22"/>
                <w:lang w:val="el-GR"/>
              </w:rPr>
              <w:t xml:space="preserve">Απόφαση 98/327/ΕΚ της Επιτροπής στην υπόθεση Μ.883 – </w:t>
            </w:r>
            <w:r w:rsidRPr="00232B39">
              <w:rPr>
                <w:rFonts w:ascii="Arial" w:hAnsi="Arial" w:cs="Arial"/>
                <w:sz w:val="22"/>
                <w:szCs w:val="22"/>
              </w:rPr>
              <w:t>TheCoca</w:t>
            </w:r>
            <w:r w:rsidRPr="00232B39">
              <w:rPr>
                <w:rFonts w:ascii="Arial" w:hAnsi="Arial" w:cs="Arial"/>
                <w:sz w:val="22"/>
                <w:szCs w:val="22"/>
                <w:lang w:val="el-GR"/>
              </w:rPr>
              <w:t>-</w:t>
            </w:r>
            <w:r w:rsidRPr="00232B39">
              <w:rPr>
                <w:rFonts w:ascii="Arial" w:hAnsi="Arial" w:cs="Arial"/>
                <w:sz w:val="22"/>
                <w:szCs w:val="22"/>
              </w:rPr>
              <w:t>ColaCompany</w:t>
            </w:r>
            <w:r w:rsidRPr="00232B39">
              <w:rPr>
                <w:rFonts w:ascii="Arial" w:hAnsi="Arial" w:cs="Arial"/>
                <w:sz w:val="22"/>
                <w:szCs w:val="22"/>
                <w:lang w:val="el-GR"/>
              </w:rPr>
              <w:t>/</w:t>
            </w:r>
            <w:r w:rsidRPr="00232B39">
              <w:rPr>
                <w:rFonts w:ascii="Arial" w:hAnsi="Arial" w:cs="Arial"/>
                <w:sz w:val="22"/>
                <w:szCs w:val="22"/>
              </w:rPr>
              <w:t>CarlsbergA</w:t>
            </w:r>
            <w:r w:rsidRPr="00232B39">
              <w:rPr>
                <w:rFonts w:ascii="Arial" w:hAnsi="Arial" w:cs="Arial"/>
                <w:sz w:val="22"/>
                <w:szCs w:val="22"/>
                <w:lang w:val="el-GR"/>
              </w:rPr>
              <w:t>/</w:t>
            </w:r>
            <w:r w:rsidRPr="00232B39">
              <w:rPr>
                <w:rFonts w:ascii="Arial" w:hAnsi="Arial" w:cs="Arial"/>
                <w:sz w:val="22"/>
                <w:szCs w:val="22"/>
              </w:rPr>
              <w:t>S</w:t>
            </w:r>
            <w:r w:rsidRPr="00232B39">
              <w:rPr>
                <w:rFonts w:ascii="Arial" w:hAnsi="Arial" w:cs="Arial"/>
                <w:sz w:val="22"/>
                <w:szCs w:val="22"/>
                <w:lang w:val="el-GR"/>
              </w:rPr>
              <w:t xml:space="preserve">, ΕΕ </w:t>
            </w:r>
            <w:r w:rsidRPr="00232B39">
              <w:rPr>
                <w:rFonts w:ascii="Arial" w:hAnsi="Arial" w:cs="Arial"/>
                <w:sz w:val="22"/>
                <w:szCs w:val="22"/>
              </w:rPr>
              <w:t>L</w:t>
            </w:r>
            <w:r w:rsidRPr="00232B39">
              <w:rPr>
                <w:rFonts w:ascii="Arial" w:hAnsi="Arial" w:cs="Arial"/>
                <w:sz w:val="22"/>
                <w:szCs w:val="22"/>
                <w:lang w:val="el-GR"/>
              </w:rPr>
              <w:t xml:space="preserve"> 145 της 15.5.1998, σελ. 41</w:t>
            </w:r>
            <w:r w:rsidR="00C37B74" w:rsidRPr="00232B39">
              <w:rPr>
                <w:rFonts w:ascii="Arial" w:hAnsi="Arial" w:cs="Arial"/>
                <w:sz w:val="22"/>
                <w:szCs w:val="22"/>
                <w:lang w:val="el-GR"/>
              </w:rPr>
              <w:t xml:space="preserve">, </w:t>
            </w:r>
            <w:hyperlink r:id="rId71" w:history="1">
              <w:r w:rsidR="00C37B74" w:rsidRPr="00232B39">
                <w:rPr>
                  <w:rStyle w:val="Hyperlink"/>
                  <w:rFonts w:ascii="Arial" w:hAnsi="Arial" w:cs="Arial"/>
                  <w:sz w:val="22"/>
                  <w:szCs w:val="22"/>
                </w:rPr>
                <w:t>http</w:t>
              </w:r>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eur</w:t>
              </w:r>
              <w:proofErr w:type="spellEnd"/>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lex</w:t>
              </w:r>
              <w:proofErr w:type="spellEnd"/>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europa</w:t>
              </w:r>
              <w:proofErr w:type="spellEnd"/>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eu</w:t>
              </w:r>
              <w:proofErr w:type="spellEnd"/>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LexUriServ</w:t>
              </w:r>
              <w:proofErr w:type="spellEnd"/>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LexUriServ</w:t>
              </w:r>
              <w:proofErr w:type="spellEnd"/>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do</w:t>
              </w:r>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uri</w:t>
              </w:r>
              <w:proofErr w:type="spellEnd"/>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CELEX</w:t>
              </w:r>
              <w:r w:rsidR="00C37B74" w:rsidRPr="00232B39">
                <w:rPr>
                  <w:rStyle w:val="Hyperlink"/>
                  <w:rFonts w:ascii="Arial" w:hAnsi="Arial" w:cs="Arial"/>
                  <w:sz w:val="22"/>
                  <w:szCs w:val="22"/>
                  <w:lang w:val="el-GR"/>
                </w:rPr>
                <w:t>:31998</w:t>
              </w:r>
              <w:r w:rsidR="00C37B74" w:rsidRPr="00232B39">
                <w:rPr>
                  <w:rStyle w:val="Hyperlink"/>
                  <w:rFonts w:ascii="Arial" w:hAnsi="Arial" w:cs="Arial"/>
                  <w:sz w:val="22"/>
                  <w:szCs w:val="22"/>
                </w:rPr>
                <w:t>D</w:t>
              </w:r>
              <w:r w:rsidR="00C37B74" w:rsidRPr="00232B39">
                <w:rPr>
                  <w:rStyle w:val="Hyperlink"/>
                  <w:rFonts w:ascii="Arial" w:hAnsi="Arial" w:cs="Arial"/>
                  <w:sz w:val="22"/>
                  <w:szCs w:val="22"/>
                  <w:lang w:val="el-GR"/>
                </w:rPr>
                <w:t>0327:</w:t>
              </w:r>
              <w:r w:rsidR="00C37B74" w:rsidRPr="00232B39">
                <w:rPr>
                  <w:rStyle w:val="Hyperlink"/>
                  <w:rFonts w:ascii="Arial" w:hAnsi="Arial" w:cs="Arial"/>
                  <w:sz w:val="22"/>
                  <w:szCs w:val="22"/>
                </w:rPr>
                <w:t>EN</w:t>
              </w:r>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HTML</w:t>
              </w:r>
            </w:hyperlink>
          </w:p>
          <w:p w:rsidR="00F61FBB" w:rsidRPr="00232B39" w:rsidRDefault="00F61FBB" w:rsidP="0004086D">
            <w:pPr>
              <w:jc w:val="both"/>
              <w:rPr>
                <w:rFonts w:ascii="Arial" w:hAnsi="Arial" w:cs="Arial"/>
                <w:sz w:val="22"/>
                <w:szCs w:val="22"/>
                <w:lang w:val="el-GR"/>
              </w:rPr>
            </w:pPr>
            <w:r w:rsidRPr="00232B39">
              <w:rPr>
                <w:rFonts w:ascii="Arial" w:hAnsi="Arial" w:cs="Arial"/>
                <w:sz w:val="22"/>
                <w:szCs w:val="22"/>
                <w:lang w:val="el-GR"/>
              </w:rPr>
              <w:t xml:space="preserve">Απόφαση 2002/156/ΕΚ της Επιτροπής στην υπόθεση </w:t>
            </w:r>
            <w:r w:rsidRPr="00232B39">
              <w:rPr>
                <w:rFonts w:ascii="Arial" w:hAnsi="Arial" w:cs="Arial"/>
                <w:sz w:val="22"/>
                <w:szCs w:val="22"/>
              </w:rPr>
              <w:t>COMP</w:t>
            </w:r>
            <w:r w:rsidRPr="00232B39">
              <w:rPr>
                <w:rFonts w:ascii="Arial" w:hAnsi="Arial" w:cs="Arial"/>
                <w:sz w:val="22"/>
                <w:szCs w:val="22"/>
                <w:lang w:val="el-GR"/>
              </w:rPr>
              <w:t>/</w:t>
            </w:r>
            <w:r w:rsidRPr="00232B39">
              <w:rPr>
                <w:rFonts w:ascii="Arial" w:hAnsi="Arial" w:cs="Arial"/>
                <w:sz w:val="22"/>
                <w:szCs w:val="22"/>
              </w:rPr>
              <w:t>M</w:t>
            </w:r>
            <w:r w:rsidRPr="00232B39">
              <w:rPr>
                <w:rFonts w:ascii="Arial" w:hAnsi="Arial" w:cs="Arial"/>
                <w:sz w:val="22"/>
                <w:szCs w:val="22"/>
                <w:lang w:val="el-GR"/>
              </w:rPr>
              <w:t xml:space="preserve">.2097 – </w:t>
            </w:r>
            <w:r w:rsidRPr="00232B39">
              <w:rPr>
                <w:rFonts w:ascii="Arial" w:hAnsi="Arial" w:cs="Arial"/>
                <w:sz w:val="22"/>
                <w:szCs w:val="22"/>
              </w:rPr>
              <w:t>SCA</w:t>
            </w:r>
            <w:r w:rsidRPr="00232B39">
              <w:rPr>
                <w:rFonts w:ascii="Arial" w:hAnsi="Arial" w:cs="Arial"/>
                <w:sz w:val="22"/>
                <w:szCs w:val="22"/>
                <w:lang w:val="el-GR"/>
              </w:rPr>
              <w:t>/</w:t>
            </w:r>
            <w:r w:rsidRPr="00232B39">
              <w:rPr>
                <w:rFonts w:ascii="Arial" w:hAnsi="Arial" w:cs="Arial"/>
                <w:sz w:val="22"/>
                <w:szCs w:val="22"/>
              </w:rPr>
              <w:t>Mets</w:t>
            </w:r>
            <w:r w:rsidRPr="00232B39">
              <w:rPr>
                <w:rFonts w:ascii="Arial" w:hAnsi="Arial" w:cs="Arial"/>
                <w:sz w:val="22"/>
                <w:szCs w:val="22"/>
                <w:lang w:val="el-GR"/>
              </w:rPr>
              <w:t xml:space="preserve">ä </w:t>
            </w:r>
            <w:r w:rsidRPr="00232B39">
              <w:rPr>
                <w:rFonts w:ascii="Arial" w:hAnsi="Arial" w:cs="Arial"/>
                <w:sz w:val="22"/>
                <w:szCs w:val="22"/>
              </w:rPr>
              <w:t>Tissue</w:t>
            </w:r>
            <w:r w:rsidRPr="00232B39">
              <w:rPr>
                <w:rFonts w:ascii="Arial" w:hAnsi="Arial" w:cs="Arial"/>
                <w:sz w:val="22"/>
                <w:szCs w:val="22"/>
                <w:lang w:val="el-GR"/>
              </w:rPr>
              <w:t xml:space="preserve">, ΕΕ </w:t>
            </w:r>
            <w:r w:rsidRPr="00232B39">
              <w:rPr>
                <w:rFonts w:ascii="Arial" w:hAnsi="Arial" w:cs="Arial"/>
                <w:sz w:val="22"/>
                <w:szCs w:val="22"/>
              </w:rPr>
              <w:t>L</w:t>
            </w:r>
            <w:r w:rsidRPr="00232B39">
              <w:rPr>
                <w:rFonts w:ascii="Arial" w:hAnsi="Arial" w:cs="Arial"/>
                <w:sz w:val="22"/>
                <w:szCs w:val="22"/>
                <w:lang w:val="el-GR"/>
              </w:rPr>
              <w:t xml:space="preserve"> 57 της 27.2.2002, σελ. 1</w:t>
            </w:r>
            <w:r w:rsidR="00C37B74" w:rsidRPr="00232B39">
              <w:rPr>
                <w:rFonts w:ascii="Arial" w:hAnsi="Arial" w:cs="Arial"/>
                <w:sz w:val="22"/>
                <w:szCs w:val="22"/>
                <w:lang w:val="el-GR"/>
              </w:rPr>
              <w:t xml:space="preserve">, </w:t>
            </w:r>
            <w:hyperlink r:id="rId72" w:history="1">
              <w:r w:rsidR="00C37B74" w:rsidRPr="00232B39">
                <w:rPr>
                  <w:rStyle w:val="Hyperlink"/>
                  <w:rFonts w:ascii="Arial" w:hAnsi="Arial" w:cs="Arial"/>
                  <w:sz w:val="22"/>
                  <w:szCs w:val="22"/>
                </w:rPr>
                <w:t>http</w:t>
              </w:r>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eur</w:t>
              </w:r>
              <w:proofErr w:type="spellEnd"/>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lex</w:t>
              </w:r>
              <w:proofErr w:type="spellEnd"/>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europa</w:t>
              </w:r>
              <w:proofErr w:type="spellEnd"/>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eu</w:t>
              </w:r>
              <w:proofErr w:type="spellEnd"/>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legal</w:t>
              </w:r>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content</w:t>
              </w:r>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EN</w:t>
              </w:r>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TXT</w:t>
              </w:r>
              <w:r w:rsidR="00C37B74" w:rsidRPr="00232B39">
                <w:rPr>
                  <w:rStyle w:val="Hyperlink"/>
                  <w:rFonts w:ascii="Arial" w:hAnsi="Arial" w:cs="Arial"/>
                  <w:sz w:val="22"/>
                  <w:szCs w:val="22"/>
                  <w:lang w:val="el-GR"/>
                </w:rPr>
                <w:t>/?</w:t>
              </w:r>
              <w:proofErr w:type="spellStart"/>
              <w:r w:rsidR="00C37B74" w:rsidRPr="00232B39">
                <w:rPr>
                  <w:rStyle w:val="Hyperlink"/>
                  <w:rFonts w:ascii="Arial" w:hAnsi="Arial" w:cs="Arial"/>
                  <w:sz w:val="22"/>
                  <w:szCs w:val="22"/>
                </w:rPr>
                <w:t>uri</w:t>
              </w:r>
              <w:proofErr w:type="spellEnd"/>
              <w:r w:rsidR="00C37B74" w:rsidRPr="00232B39">
                <w:rPr>
                  <w:rStyle w:val="Hyperlink"/>
                  <w:rFonts w:ascii="Arial" w:hAnsi="Arial" w:cs="Arial"/>
                  <w:sz w:val="22"/>
                  <w:szCs w:val="22"/>
                  <w:lang w:val="el-GR"/>
                </w:rPr>
                <w:t>=</w:t>
              </w:r>
              <w:r w:rsidR="00C37B74" w:rsidRPr="00232B39">
                <w:rPr>
                  <w:rStyle w:val="Hyperlink"/>
                  <w:rFonts w:ascii="Arial" w:hAnsi="Arial" w:cs="Arial"/>
                  <w:sz w:val="22"/>
                  <w:szCs w:val="22"/>
                </w:rPr>
                <w:t>CELEX</w:t>
              </w:r>
              <w:r w:rsidR="00C37B74" w:rsidRPr="00232B39">
                <w:rPr>
                  <w:rStyle w:val="Hyperlink"/>
                  <w:rFonts w:ascii="Arial" w:hAnsi="Arial" w:cs="Arial"/>
                  <w:sz w:val="22"/>
                  <w:szCs w:val="22"/>
                  <w:lang w:val="el-GR"/>
                </w:rPr>
                <w:t>%3</w:t>
              </w:r>
              <w:r w:rsidR="00C37B74" w:rsidRPr="00232B39">
                <w:rPr>
                  <w:rStyle w:val="Hyperlink"/>
                  <w:rFonts w:ascii="Arial" w:hAnsi="Arial" w:cs="Arial"/>
                  <w:sz w:val="22"/>
                  <w:szCs w:val="22"/>
                </w:rPr>
                <w:t>A</w:t>
              </w:r>
              <w:r w:rsidR="00C37B74" w:rsidRPr="00232B39">
                <w:rPr>
                  <w:rStyle w:val="Hyperlink"/>
                  <w:rFonts w:ascii="Arial" w:hAnsi="Arial" w:cs="Arial"/>
                  <w:sz w:val="22"/>
                  <w:szCs w:val="22"/>
                  <w:lang w:val="el-GR"/>
                </w:rPr>
                <w:t>32002</w:t>
              </w:r>
              <w:r w:rsidR="00C37B74" w:rsidRPr="00232B39">
                <w:rPr>
                  <w:rStyle w:val="Hyperlink"/>
                  <w:rFonts w:ascii="Arial" w:hAnsi="Arial" w:cs="Arial"/>
                  <w:sz w:val="22"/>
                  <w:szCs w:val="22"/>
                </w:rPr>
                <w:t>D</w:t>
              </w:r>
              <w:r w:rsidR="00C37B74" w:rsidRPr="00232B39">
                <w:rPr>
                  <w:rStyle w:val="Hyperlink"/>
                  <w:rFonts w:ascii="Arial" w:hAnsi="Arial" w:cs="Arial"/>
                  <w:sz w:val="22"/>
                  <w:szCs w:val="22"/>
                  <w:lang w:val="el-GR"/>
                </w:rPr>
                <w:t>0156</w:t>
              </w:r>
            </w:hyperlink>
          </w:p>
          <w:p w:rsidR="00F61FBB" w:rsidRPr="00232B39" w:rsidRDefault="00F61FBB" w:rsidP="0004086D">
            <w:pPr>
              <w:jc w:val="both"/>
              <w:rPr>
                <w:rFonts w:ascii="Arial" w:hAnsi="Arial" w:cs="Arial"/>
                <w:sz w:val="22"/>
                <w:szCs w:val="22"/>
                <w:lang w:val="el-GR"/>
              </w:rPr>
            </w:pPr>
            <w:r w:rsidRPr="00232B39">
              <w:rPr>
                <w:rFonts w:ascii="Arial" w:hAnsi="Arial" w:cs="Arial"/>
                <w:sz w:val="22"/>
                <w:szCs w:val="22"/>
                <w:lang w:val="el-GR"/>
              </w:rPr>
              <w:lastRenderedPageBreak/>
              <w:t>Απόφαση της Επιτροπής της 12/05/2006 (</w:t>
            </w:r>
            <w:r w:rsidRPr="00232B39">
              <w:rPr>
                <w:rFonts w:ascii="Arial" w:hAnsi="Arial" w:cs="Arial"/>
                <w:sz w:val="22"/>
                <w:szCs w:val="22"/>
              </w:rPr>
              <w:t>COMP</w:t>
            </w:r>
            <w:r w:rsidRPr="00232B39">
              <w:rPr>
                <w:rFonts w:ascii="Arial" w:hAnsi="Arial" w:cs="Arial"/>
                <w:sz w:val="22"/>
                <w:szCs w:val="22"/>
                <w:lang w:val="el-GR"/>
              </w:rPr>
              <w:t>/</w:t>
            </w:r>
            <w:r w:rsidRPr="00232B39">
              <w:rPr>
                <w:rFonts w:ascii="Arial" w:hAnsi="Arial" w:cs="Arial"/>
                <w:sz w:val="22"/>
                <w:szCs w:val="22"/>
              </w:rPr>
              <w:t>M</w:t>
            </w:r>
            <w:r w:rsidRPr="00232B39">
              <w:rPr>
                <w:rFonts w:ascii="Arial" w:hAnsi="Arial" w:cs="Arial"/>
                <w:sz w:val="22"/>
                <w:szCs w:val="22"/>
                <w:lang w:val="el-GR"/>
              </w:rPr>
              <w:t xml:space="preserve">.4057 - </w:t>
            </w:r>
            <w:r w:rsidRPr="00232B39">
              <w:rPr>
                <w:rFonts w:ascii="Arial" w:hAnsi="Arial" w:cs="Arial"/>
                <w:sz w:val="22"/>
                <w:szCs w:val="22"/>
              </w:rPr>
              <w:t>KORSN</w:t>
            </w:r>
            <w:r w:rsidRPr="00232B39">
              <w:rPr>
                <w:rFonts w:ascii="Arial" w:hAnsi="Arial" w:cs="Arial"/>
                <w:sz w:val="22"/>
                <w:szCs w:val="22"/>
                <w:lang w:val="el-GR"/>
              </w:rPr>
              <w:t xml:space="preserve">ē / </w:t>
            </w:r>
            <w:r w:rsidRPr="00232B39">
              <w:rPr>
                <w:rFonts w:ascii="Arial" w:hAnsi="Arial" w:cs="Arial"/>
                <w:sz w:val="22"/>
                <w:szCs w:val="22"/>
              </w:rPr>
              <w:t>ASSIDOM</w:t>
            </w:r>
            <w:r w:rsidRPr="00232B39">
              <w:rPr>
                <w:rFonts w:ascii="Arial" w:hAnsi="Arial" w:cs="Arial"/>
                <w:sz w:val="22"/>
                <w:szCs w:val="22"/>
                <w:lang w:val="el-GR"/>
              </w:rPr>
              <w:t xml:space="preserve">Ď </w:t>
            </w:r>
            <w:r w:rsidRPr="00232B39">
              <w:rPr>
                <w:rFonts w:ascii="Arial" w:hAnsi="Arial" w:cs="Arial"/>
                <w:sz w:val="22"/>
                <w:szCs w:val="22"/>
              </w:rPr>
              <w:t>CARTONBOARD</w:t>
            </w:r>
            <w:r w:rsidRPr="00232B39">
              <w:rPr>
                <w:rFonts w:ascii="Arial" w:hAnsi="Arial" w:cs="Arial"/>
                <w:sz w:val="22"/>
                <w:szCs w:val="22"/>
                <w:lang w:val="el-GR"/>
              </w:rPr>
              <w:t xml:space="preserve">), ΕΕ </w:t>
            </w:r>
            <w:r w:rsidRPr="00232B39">
              <w:rPr>
                <w:rFonts w:ascii="Arial" w:hAnsi="Arial" w:cs="Arial"/>
                <w:sz w:val="22"/>
                <w:szCs w:val="22"/>
              </w:rPr>
              <w:t>C</w:t>
            </w:r>
            <w:r w:rsidRPr="00232B39">
              <w:rPr>
                <w:rFonts w:ascii="Arial" w:hAnsi="Arial" w:cs="Arial"/>
                <w:sz w:val="22"/>
                <w:szCs w:val="22"/>
                <w:lang w:val="el-GR"/>
              </w:rPr>
              <w:t xml:space="preserve"> 209/12 της 31.8.2006</w:t>
            </w:r>
            <w:r w:rsidR="00935FF6" w:rsidRPr="00232B39">
              <w:rPr>
                <w:rFonts w:ascii="Arial" w:hAnsi="Arial" w:cs="Arial"/>
                <w:sz w:val="22"/>
                <w:szCs w:val="22"/>
                <w:lang w:val="el-GR"/>
              </w:rPr>
              <w:t xml:space="preserve">, </w:t>
            </w:r>
            <w:hyperlink r:id="rId73" w:history="1">
              <w:r w:rsidR="00935FF6" w:rsidRPr="00232B39">
                <w:rPr>
                  <w:rStyle w:val="Hyperlink"/>
                  <w:rFonts w:ascii="Arial" w:hAnsi="Arial" w:cs="Arial"/>
                  <w:sz w:val="22"/>
                  <w:szCs w:val="22"/>
                  <w:lang w:val="el-GR"/>
                </w:rPr>
                <w:t>http://eur-lex.europa.eu/legal-content/EN/TXT/?uri=CELEX%3A32006M4057</w:t>
              </w:r>
            </w:hyperlink>
          </w:p>
          <w:p w:rsidR="00F61FBB" w:rsidRPr="00232B39" w:rsidRDefault="00F61FBB" w:rsidP="0004086D">
            <w:pPr>
              <w:jc w:val="both"/>
              <w:rPr>
                <w:rFonts w:ascii="Arial" w:hAnsi="Arial" w:cs="Arial"/>
                <w:sz w:val="22"/>
                <w:szCs w:val="22"/>
                <w:lang w:val="el-GR"/>
              </w:rPr>
            </w:pPr>
            <w:r w:rsidRPr="00232B39">
              <w:rPr>
                <w:rFonts w:ascii="Arial" w:hAnsi="Arial" w:cs="Arial"/>
                <w:sz w:val="22"/>
                <w:szCs w:val="22"/>
                <w:lang w:val="el-GR"/>
              </w:rPr>
              <w:t xml:space="preserve">Απόφαση της Επιτροπής της 18/01/2002 (υπόθεση </w:t>
            </w:r>
            <w:r w:rsidRPr="00232B39">
              <w:rPr>
                <w:rFonts w:ascii="Arial" w:hAnsi="Arial" w:cs="Arial"/>
                <w:sz w:val="22"/>
                <w:szCs w:val="22"/>
              </w:rPr>
              <w:t>IV</w:t>
            </w:r>
            <w:r w:rsidRPr="00232B39">
              <w:rPr>
                <w:rFonts w:ascii="Arial" w:hAnsi="Arial" w:cs="Arial"/>
                <w:sz w:val="22"/>
                <w:szCs w:val="22"/>
                <w:lang w:val="el-GR"/>
              </w:rPr>
              <w:t>/</w:t>
            </w:r>
            <w:r w:rsidRPr="00232B39">
              <w:rPr>
                <w:rFonts w:ascii="Arial" w:hAnsi="Arial" w:cs="Arial"/>
                <w:sz w:val="22"/>
                <w:szCs w:val="22"/>
              </w:rPr>
              <w:t>M</w:t>
            </w:r>
            <w:r w:rsidRPr="00232B39">
              <w:rPr>
                <w:rFonts w:ascii="Arial" w:hAnsi="Arial" w:cs="Arial"/>
                <w:sz w:val="22"/>
                <w:szCs w:val="22"/>
                <w:lang w:val="el-GR"/>
              </w:rPr>
              <w:t xml:space="preserve">.2502 - </w:t>
            </w:r>
            <w:r w:rsidRPr="00232B39">
              <w:rPr>
                <w:rFonts w:ascii="Arial" w:hAnsi="Arial" w:cs="Arial"/>
                <w:sz w:val="22"/>
                <w:szCs w:val="22"/>
              </w:rPr>
              <w:t>CARGILL</w:t>
            </w:r>
            <w:r w:rsidRPr="00232B39">
              <w:rPr>
                <w:rFonts w:ascii="Arial" w:hAnsi="Arial" w:cs="Arial"/>
                <w:sz w:val="22"/>
                <w:szCs w:val="22"/>
                <w:lang w:val="el-GR"/>
              </w:rPr>
              <w:t xml:space="preserve"> / </w:t>
            </w:r>
            <w:r w:rsidRPr="00232B39">
              <w:rPr>
                <w:rFonts w:ascii="Arial" w:hAnsi="Arial" w:cs="Arial"/>
                <w:sz w:val="22"/>
                <w:szCs w:val="22"/>
              </w:rPr>
              <w:t>CERESTAR</w:t>
            </w:r>
            <w:r w:rsidRPr="00232B39">
              <w:rPr>
                <w:rFonts w:ascii="Arial" w:hAnsi="Arial" w:cs="Arial"/>
                <w:sz w:val="22"/>
                <w:szCs w:val="22"/>
                <w:lang w:val="el-GR"/>
              </w:rPr>
              <w:t xml:space="preserve">), ΕΕ </w:t>
            </w:r>
            <w:r w:rsidRPr="00232B39">
              <w:rPr>
                <w:rFonts w:ascii="Arial" w:hAnsi="Arial" w:cs="Arial"/>
                <w:sz w:val="22"/>
                <w:szCs w:val="22"/>
              </w:rPr>
              <w:t>C</w:t>
            </w:r>
            <w:r w:rsidRPr="00232B39">
              <w:rPr>
                <w:rFonts w:ascii="Arial" w:hAnsi="Arial" w:cs="Arial"/>
                <w:sz w:val="22"/>
                <w:szCs w:val="22"/>
                <w:lang w:val="el-GR"/>
              </w:rPr>
              <w:t xml:space="preserve"> 40/7 της 14.2.2002</w:t>
            </w:r>
            <w:r w:rsidR="00935FF6" w:rsidRPr="00232B39">
              <w:rPr>
                <w:rFonts w:ascii="Arial" w:hAnsi="Arial" w:cs="Arial"/>
                <w:sz w:val="22"/>
                <w:szCs w:val="22"/>
                <w:lang w:val="el-GR"/>
              </w:rPr>
              <w:t xml:space="preserve">, </w:t>
            </w:r>
            <w:hyperlink r:id="rId74" w:history="1">
              <w:r w:rsidR="00935FF6" w:rsidRPr="00232B39">
                <w:rPr>
                  <w:rStyle w:val="Hyperlink"/>
                  <w:rFonts w:ascii="Arial" w:hAnsi="Arial" w:cs="Arial"/>
                  <w:sz w:val="22"/>
                  <w:szCs w:val="22"/>
                  <w:lang w:val="el-GR"/>
                </w:rPr>
                <w:t>http://ec.europa.eu/competition/mergers/cases/decisions/m2502_en.pdf</w:t>
              </w:r>
            </w:hyperlink>
          </w:p>
          <w:p w:rsidR="00F61FBB" w:rsidRPr="00232B39" w:rsidRDefault="00F61FBB" w:rsidP="0004086D">
            <w:pPr>
              <w:jc w:val="both"/>
              <w:rPr>
                <w:rFonts w:ascii="Arial" w:hAnsi="Arial" w:cs="Arial"/>
                <w:sz w:val="22"/>
                <w:szCs w:val="22"/>
                <w:lang w:val="el-GR"/>
              </w:rPr>
            </w:pPr>
            <w:r w:rsidRPr="00232B39">
              <w:rPr>
                <w:rFonts w:ascii="Arial" w:hAnsi="Arial" w:cs="Arial"/>
                <w:sz w:val="22"/>
                <w:szCs w:val="22"/>
                <w:lang w:val="el-GR"/>
              </w:rPr>
              <w:t>Απόφαση της Επιτροπής της 14</w:t>
            </w:r>
            <w:r w:rsidRPr="00232B39">
              <w:rPr>
                <w:rFonts w:ascii="Arial" w:hAnsi="Arial" w:cs="Arial"/>
                <w:sz w:val="22"/>
                <w:szCs w:val="22"/>
                <w:vertAlign w:val="superscript"/>
                <w:lang w:val="el-GR"/>
              </w:rPr>
              <w:t>ης</w:t>
            </w:r>
            <w:r w:rsidRPr="00232B39">
              <w:rPr>
                <w:rFonts w:ascii="Arial" w:hAnsi="Arial" w:cs="Arial"/>
                <w:sz w:val="22"/>
                <w:szCs w:val="22"/>
                <w:lang w:val="el-GR"/>
              </w:rPr>
              <w:t xml:space="preserve"> Μαΐου 2008 (</w:t>
            </w:r>
            <w:r w:rsidRPr="00232B39">
              <w:rPr>
                <w:rFonts w:ascii="Arial" w:hAnsi="Arial" w:cs="Arial"/>
                <w:sz w:val="22"/>
                <w:szCs w:val="22"/>
              </w:rPr>
              <w:t>COMP</w:t>
            </w:r>
            <w:r w:rsidRPr="00232B39">
              <w:rPr>
                <w:rFonts w:ascii="Arial" w:hAnsi="Arial" w:cs="Arial"/>
                <w:sz w:val="22"/>
                <w:szCs w:val="22"/>
                <w:lang w:val="el-GR"/>
              </w:rPr>
              <w:t>/</w:t>
            </w:r>
            <w:r w:rsidRPr="00232B39">
              <w:rPr>
                <w:rFonts w:ascii="Arial" w:hAnsi="Arial" w:cs="Arial"/>
                <w:sz w:val="22"/>
                <w:szCs w:val="22"/>
              </w:rPr>
              <w:t>M</w:t>
            </w:r>
            <w:r w:rsidRPr="00232B39">
              <w:rPr>
                <w:rFonts w:ascii="Arial" w:hAnsi="Arial" w:cs="Arial"/>
                <w:sz w:val="22"/>
                <w:szCs w:val="22"/>
                <w:lang w:val="el-GR"/>
              </w:rPr>
              <w:t xml:space="preserve">.4854 — </w:t>
            </w:r>
            <w:proofErr w:type="spellStart"/>
            <w:r w:rsidRPr="00232B39">
              <w:rPr>
                <w:rFonts w:ascii="Arial" w:hAnsi="Arial" w:cs="Arial"/>
                <w:sz w:val="22"/>
                <w:szCs w:val="22"/>
              </w:rPr>
              <w:t>TomTom</w:t>
            </w:r>
            <w:proofErr w:type="spellEnd"/>
            <w:r w:rsidRPr="00232B39">
              <w:rPr>
                <w:rFonts w:ascii="Arial" w:hAnsi="Arial" w:cs="Arial"/>
                <w:sz w:val="22"/>
                <w:szCs w:val="22"/>
                <w:lang w:val="el-GR"/>
              </w:rPr>
              <w:t>/</w:t>
            </w:r>
            <w:proofErr w:type="spellStart"/>
            <w:r w:rsidRPr="00232B39">
              <w:rPr>
                <w:rFonts w:ascii="Arial" w:hAnsi="Arial" w:cs="Arial"/>
                <w:sz w:val="22"/>
                <w:szCs w:val="22"/>
              </w:rPr>
              <w:t>TeleAtlas</w:t>
            </w:r>
            <w:proofErr w:type="spellEnd"/>
            <w:r w:rsidRPr="00232B39">
              <w:rPr>
                <w:rFonts w:ascii="Arial" w:hAnsi="Arial" w:cs="Arial"/>
                <w:sz w:val="22"/>
                <w:szCs w:val="22"/>
                <w:lang w:val="el-GR"/>
              </w:rPr>
              <w:t xml:space="preserve">), ΕΕ </w:t>
            </w:r>
            <w:r w:rsidRPr="00232B39">
              <w:rPr>
                <w:rFonts w:ascii="Arial" w:hAnsi="Arial" w:cs="Arial"/>
                <w:sz w:val="22"/>
                <w:szCs w:val="22"/>
              </w:rPr>
              <w:t>C</w:t>
            </w:r>
            <w:r w:rsidRPr="00232B39">
              <w:rPr>
                <w:rFonts w:ascii="Arial" w:hAnsi="Arial" w:cs="Arial"/>
                <w:sz w:val="22"/>
                <w:szCs w:val="22"/>
                <w:lang w:val="el-GR"/>
              </w:rPr>
              <w:t xml:space="preserve"> 237/8 της 16.9.2008</w:t>
            </w:r>
            <w:r w:rsidR="00935FF6" w:rsidRPr="00232B39">
              <w:rPr>
                <w:rFonts w:ascii="Arial" w:hAnsi="Arial" w:cs="Arial"/>
                <w:sz w:val="22"/>
                <w:szCs w:val="22"/>
                <w:lang w:val="el-GR"/>
              </w:rPr>
              <w:t xml:space="preserve">, </w:t>
            </w:r>
            <w:hyperlink r:id="rId75" w:history="1">
              <w:r w:rsidR="00935FF6" w:rsidRPr="00232B39">
                <w:rPr>
                  <w:rStyle w:val="Hyperlink"/>
                  <w:rFonts w:ascii="Arial" w:hAnsi="Arial" w:cs="Arial"/>
                  <w:sz w:val="22"/>
                  <w:szCs w:val="22"/>
                  <w:lang w:val="el-GR"/>
                </w:rPr>
                <w:t>http://ec.europa.eu/competition/mergers/cases/decisions/m4854_20080514_20682_en.pdf</w:t>
              </w:r>
            </w:hyperlink>
          </w:p>
          <w:p w:rsidR="00F61FBB" w:rsidRPr="00232B39" w:rsidRDefault="00F61FBB" w:rsidP="0004086D">
            <w:pPr>
              <w:jc w:val="both"/>
              <w:rPr>
                <w:rFonts w:ascii="Arial" w:hAnsi="Arial" w:cs="Arial"/>
                <w:sz w:val="22"/>
                <w:szCs w:val="22"/>
                <w:lang w:val="el-GR"/>
              </w:rPr>
            </w:pPr>
            <w:r w:rsidRPr="00232B39">
              <w:rPr>
                <w:rFonts w:ascii="Arial" w:hAnsi="Arial" w:cs="Arial"/>
                <w:sz w:val="22"/>
                <w:szCs w:val="22"/>
                <w:lang w:val="el-GR"/>
              </w:rPr>
              <w:t>Απόφαση της Επιτροπής της 02</w:t>
            </w:r>
            <w:r w:rsidRPr="00232B39">
              <w:rPr>
                <w:rFonts w:ascii="Arial" w:hAnsi="Arial" w:cs="Arial"/>
                <w:sz w:val="22"/>
                <w:szCs w:val="22"/>
                <w:vertAlign w:val="superscript"/>
                <w:lang w:val="el-GR"/>
              </w:rPr>
              <w:t>ης</w:t>
            </w:r>
            <w:r w:rsidRPr="00232B39">
              <w:rPr>
                <w:rFonts w:ascii="Arial" w:hAnsi="Arial" w:cs="Arial"/>
                <w:sz w:val="22"/>
                <w:szCs w:val="22"/>
                <w:lang w:val="el-GR"/>
              </w:rPr>
              <w:t xml:space="preserve"> Ιουλίου 2008 (</w:t>
            </w:r>
            <w:r w:rsidRPr="00232B39">
              <w:rPr>
                <w:rFonts w:ascii="Arial" w:hAnsi="Arial" w:cs="Arial"/>
                <w:sz w:val="22"/>
                <w:szCs w:val="22"/>
              </w:rPr>
              <w:t>COMP</w:t>
            </w:r>
            <w:r w:rsidRPr="00232B39">
              <w:rPr>
                <w:rFonts w:ascii="Arial" w:hAnsi="Arial" w:cs="Arial"/>
                <w:sz w:val="22"/>
                <w:szCs w:val="22"/>
                <w:lang w:val="el-GR"/>
              </w:rPr>
              <w:t>/</w:t>
            </w:r>
            <w:r w:rsidRPr="00232B39">
              <w:rPr>
                <w:rFonts w:ascii="Arial" w:hAnsi="Arial" w:cs="Arial"/>
                <w:sz w:val="22"/>
                <w:szCs w:val="22"/>
              </w:rPr>
              <w:t>M</w:t>
            </w:r>
            <w:r w:rsidRPr="00232B39">
              <w:rPr>
                <w:rFonts w:ascii="Arial" w:hAnsi="Arial" w:cs="Arial"/>
                <w:sz w:val="22"/>
                <w:szCs w:val="22"/>
                <w:lang w:val="el-GR"/>
              </w:rPr>
              <w:t xml:space="preserve">.4942 — </w:t>
            </w:r>
            <w:r w:rsidRPr="00232B39">
              <w:rPr>
                <w:rFonts w:ascii="Arial" w:hAnsi="Arial" w:cs="Arial"/>
                <w:sz w:val="22"/>
                <w:szCs w:val="22"/>
              </w:rPr>
              <w:t>Nokia</w:t>
            </w:r>
            <w:r w:rsidRPr="00232B39">
              <w:rPr>
                <w:rFonts w:ascii="Arial" w:hAnsi="Arial" w:cs="Arial"/>
                <w:sz w:val="22"/>
                <w:szCs w:val="22"/>
                <w:lang w:val="el-GR"/>
              </w:rPr>
              <w:t>/</w:t>
            </w:r>
            <w:proofErr w:type="spellStart"/>
            <w:r w:rsidRPr="00232B39">
              <w:rPr>
                <w:rFonts w:ascii="Arial" w:hAnsi="Arial" w:cs="Arial"/>
                <w:sz w:val="22"/>
                <w:szCs w:val="22"/>
              </w:rPr>
              <w:t>Navteq</w:t>
            </w:r>
            <w:proofErr w:type="spellEnd"/>
            <w:r w:rsidRPr="00232B39">
              <w:rPr>
                <w:rFonts w:ascii="Arial" w:hAnsi="Arial" w:cs="Arial"/>
                <w:sz w:val="22"/>
                <w:szCs w:val="22"/>
                <w:lang w:val="el-GR"/>
              </w:rPr>
              <w:t xml:space="preserve">), ΕΕ </w:t>
            </w:r>
            <w:r w:rsidRPr="00232B39">
              <w:rPr>
                <w:rFonts w:ascii="Arial" w:hAnsi="Arial" w:cs="Arial"/>
                <w:sz w:val="22"/>
                <w:szCs w:val="22"/>
              </w:rPr>
              <w:t>C</w:t>
            </w:r>
            <w:r w:rsidRPr="00232B39">
              <w:rPr>
                <w:rFonts w:ascii="Arial" w:hAnsi="Arial" w:cs="Arial"/>
                <w:sz w:val="22"/>
                <w:szCs w:val="22"/>
                <w:lang w:val="el-GR"/>
              </w:rPr>
              <w:t xml:space="preserve"> 13/8 της 20.01.2009</w:t>
            </w:r>
            <w:r w:rsidR="00935FF6" w:rsidRPr="00232B39">
              <w:rPr>
                <w:rFonts w:ascii="Arial" w:hAnsi="Arial" w:cs="Arial"/>
                <w:sz w:val="22"/>
                <w:szCs w:val="22"/>
                <w:lang w:val="el-GR"/>
              </w:rPr>
              <w:t xml:space="preserve">, </w:t>
            </w:r>
            <w:hyperlink r:id="rId76" w:history="1">
              <w:r w:rsidR="00935FF6" w:rsidRPr="00232B39">
                <w:rPr>
                  <w:rStyle w:val="Hyperlink"/>
                  <w:rFonts w:ascii="Arial" w:hAnsi="Arial" w:cs="Arial"/>
                  <w:sz w:val="22"/>
                  <w:szCs w:val="22"/>
                  <w:lang w:val="el-GR"/>
                </w:rPr>
                <w:t>http://ec.europa.eu/competition/mergers/cases/decisions/m4942_20080702_20682_en.pdf</w:t>
              </w:r>
            </w:hyperlink>
          </w:p>
          <w:p w:rsidR="00D92732" w:rsidRPr="00232B39" w:rsidRDefault="00F61FBB" w:rsidP="0004086D">
            <w:pPr>
              <w:jc w:val="both"/>
              <w:rPr>
                <w:rFonts w:ascii="Arial" w:hAnsi="Arial" w:cs="Arial"/>
                <w:sz w:val="22"/>
                <w:szCs w:val="22"/>
                <w:lang w:val="el-GR"/>
              </w:rPr>
            </w:pPr>
            <w:r w:rsidRPr="00232B39">
              <w:rPr>
                <w:rFonts w:ascii="Arial" w:hAnsi="Arial" w:cs="Arial"/>
                <w:sz w:val="22"/>
                <w:szCs w:val="22"/>
                <w:lang w:val="el-GR"/>
              </w:rPr>
              <w:t xml:space="preserve">Απόφαση της Επιτροπής </w:t>
            </w:r>
            <w:r w:rsidRPr="00232B39">
              <w:rPr>
                <w:rFonts w:ascii="Arial" w:hAnsi="Arial" w:cs="Arial"/>
                <w:sz w:val="22"/>
                <w:szCs w:val="22"/>
              </w:rPr>
              <w:t>Kali</w:t>
            </w:r>
            <w:r w:rsidRPr="00232B39">
              <w:rPr>
                <w:rFonts w:ascii="Arial" w:hAnsi="Arial" w:cs="Arial"/>
                <w:sz w:val="22"/>
                <w:szCs w:val="22"/>
                <w:lang w:val="el-GR"/>
              </w:rPr>
              <w:t>-</w:t>
            </w:r>
            <w:proofErr w:type="spellStart"/>
            <w:r w:rsidRPr="00232B39">
              <w:rPr>
                <w:rFonts w:ascii="Arial" w:hAnsi="Arial" w:cs="Arial"/>
                <w:sz w:val="22"/>
                <w:szCs w:val="22"/>
              </w:rPr>
              <w:t>Salz</w:t>
            </w:r>
            <w:proofErr w:type="spellEnd"/>
            <w:r w:rsidRPr="00232B39">
              <w:rPr>
                <w:rFonts w:ascii="Arial" w:hAnsi="Arial" w:cs="Arial"/>
                <w:sz w:val="22"/>
                <w:szCs w:val="22"/>
                <w:lang w:val="el-GR"/>
              </w:rPr>
              <w:t xml:space="preserve">, 14.12.1993, </w:t>
            </w:r>
            <w:r w:rsidRPr="00232B39">
              <w:rPr>
                <w:rFonts w:ascii="Arial" w:hAnsi="Arial" w:cs="Arial"/>
                <w:sz w:val="22"/>
                <w:szCs w:val="22"/>
              </w:rPr>
              <w:t>EEL</w:t>
            </w:r>
            <w:r w:rsidRPr="00232B39">
              <w:rPr>
                <w:rFonts w:ascii="Arial" w:hAnsi="Arial" w:cs="Arial"/>
                <w:sz w:val="22"/>
                <w:szCs w:val="22"/>
                <w:lang w:val="el-GR"/>
              </w:rPr>
              <w:t xml:space="preserve"> 186, 21.07.1994</w:t>
            </w:r>
            <w:r w:rsidR="00935FF6" w:rsidRPr="00232B39">
              <w:rPr>
                <w:rFonts w:ascii="Arial" w:hAnsi="Arial" w:cs="Arial"/>
                <w:sz w:val="22"/>
                <w:szCs w:val="22"/>
                <w:lang w:val="el-GR"/>
              </w:rPr>
              <w:t xml:space="preserve">, </w:t>
            </w:r>
            <w:hyperlink r:id="rId77" w:history="1">
              <w:r w:rsidR="00935FF6" w:rsidRPr="00232B39">
                <w:rPr>
                  <w:rStyle w:val="Hyperlink"/>
                  <w:rFonts w:ascii="Arial" w:hAnsi="Arial" w:cs="Arial"/>
                  <w:sz w:val="22"/>
                  <w:szCs w:val="22"/>
                  <w:lang w:val="el-GR"/>
                </w:rPr>
                <w:t>http://eur-lex.europa.eu/LexUriServ/LexUriServ.do?uri=CELEX:31994D0449:EN:HTML</w:t>
              </w:r>
            </w:hyperlink>
          </w:p>
          <w:p w:rsidR="0004086D" w:rsidRPr="00232B39" w:rsidRDefault="0004086D" w:rsidP="0004086D">
            <w:pPr>
              <w:jc w:val="both"/>
              <w:rPr>
                <w:rFonts w:ascii="Arial" w:hAnsi="Arial" w:cs="Arial"/>
                <w:sz w:val="22"/>
                <w:szCs w:val="22"/>
                <w:lang w:val="el-GR"/>
              </w:rPr>
            </w:pPr>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Commission Notice on the Definition of Relevant Market for the Purposes of Community Competition Law 1997 (OJ 1997 C372/5), </w:t>
            </w:r>
            <w:hyperlink r:id="rId78" w:history="1">
              <w:r w:rsidRPr="00232B39">
                <w:rPr>
                  <w:rStyle w:val="Hyperlink"/>
                  <w:rFonts w:ascii="Arial" w:hAnsi="Arial" w:cs="Arial"/>
                  <w:sz w:val="22"/>
                  <w:szCs w:val="22"/>
                </w:rPr>
                <w:t>http://eur-lex.europa.eu/legal-content/EN/TXT/?uri=celex:31997Y1209(01)</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Guidance on the Commission’s Enforcement Priorities in Applying Article 82 of the EC Treaty to Abusive Exclusionary Conduct by Dominant Undertakings, OJ C 45, 24/02/2009, 7-20, </w:t>
            </w:r>
            <w:hyperlink r:id="rId79" w:history="1">
              <w:r w:rsidRPr="00232B39">
                <w:rPr>
                  <w:rStyle w:val="Hyperlink"/>
                  <w:rFonts w:ascii="Arial" w:hAnsi="Arial" w:cs="Arial"/>
                  <w:sz w:val="22"/>
                  <w:szCs w:val="22"/>
                </w:rPr>
                <w:t>http://eur-lex.europa.eu/legal-content/EN/TXT/?uri=CELEX:52009XC0224(01)</w:t>
              </w:r>
            </w:hyperlink>
          </w:p>
          <w:p w:rsidR="0004086D" w:rsidRPr="00232B39" w:rsidRDefault="0004086D" w:rsidP="0004086D">
            <w:pPr>
              <w:jc w:val="both"/>
              <w:rPr>
                <w:rFonts w:ascii="Arial" w:hAnsi="Arial" w:cs="Arial"/>
                <w:sz w:val="22"/>
                <w:szCs w:val="22"/>
              </w:rPr>
            </w:pPr>
            <w:r w:rsidRPr="00232B39">
              <w:rPr>
                <w:rFonts w:ascii="Arial" w:hAnsi="Arial" w:cs="Arial"/>
                <w:sz w:val="22"/>
                <w:szCs w:val="22"/>
              </w:rPr>
              <w:t xml:space="preserve">Guidelines on the Application of Article 81(3) of the Treaty, OJ C 101 2004 97, </w:t>
            </w:r>
            <w:hyperlink r:id="rId80" w:history="1">
              <w:r w:rsidRPr="00232B39">
                <w:rPr>
                  <w:rStyle w:val="Hyperlink"/>
                  <w:rFonts w:ascii="Arial" w:hAnsi="Arial" w:cs="Arial"/>
                  <w:sz w:val="22"/>
                  <w:szCs w:val="22"/>
                </w:rPr>
                <w:t>http://eur-lex.europa.eu/LexUriServ/LexUriServ.do?uri=OJ:C:2004:101:0097:0118:EN:PDF</w:t>
              </w:r>
            </w:hyperlink>
          </w:p>
          <w:p w:rsidR="0004086D" w:rsidRPr="00232B39" w:rsidRDefault="0004086D" w:rsidP="0004086D">
            <w:pPr>
              <w:jc w:val="both"/>
              <w:rPr>
                <w:rFonts w:ascii="Arial" w:hAnsi="Arial" w:cs="Arial"/>
                <w:color w:val="444444"/>
                <w:sz w:val="22"/>
                <w:szCs w:val="22"/>
                <w:lang/>
              </w:rPr>
            </w:pPr>
            <w:r w:rsidRPr="00232B39">
              <w:rPr>
                <w:rFonts w:ascii="Arial" w:hAnsi="Arial" w:cs="Arial"/>
                <w:sz w:val="22"/>
                <w:szCs w:val="22"/>
              </w:rPr>
              <w:t xml:space="preserve">Guidelines on the application of Article 101(3) TFEU (formerly Article 81(3) TEC), </w:t>
            </w:r>
            <w:r w:rsidRPr="00232B39">
              <w:rPr>
                <w:rFonts w:ascii="Arial" w:hAnsi="Arial" w:cs="Arial"/>
                <w:color w:val="444444"/>
                <w:sz w:val="22"/>
                <w:szCs w:val="22"/>
                <w:lang/>
              </w:rPr>
              <w:t xml:space="preserve">[Official Journal No C 101 of 27.4.2004], </w:t>
            </w:r>
            <w:hyperlink r:id="rId81" w:history="1">
              <w:r w:rsidRPr="00232B39">
                <w:rPr>
                  <w:rStyle w:val="Hyperlink"/>
                  <w:rFonts w:ascii="Arial" w:hAnsi="Arial" w:cs="Arial"/>
                  <w:sz w:val="22"/>
                  <w:szCs w:val="22"/>
                  <w:lang/>
                </w:rPr>
                <w:t>http://eur-lex.europa.eu/legal-content/EN/ALL/?uri=URISERV:l26114</w:t>
              </w:r>
            </w:hyperlink>
          </w:p>
          <w:p w:rsidR="0004086D" w:rsidRPr="00232B39" w:rsidRDefault="0004086D" w:rsidP="0004086D">
            <w:pPr>
              <w:jc w:val="both"/>
              <w:rPr>
                <w:rStyle w:val="Hyperlink"/>
                <w:rFonts w:ascii="Arial" w:hAnsi="Arial" w:cs="Arial"/>
                <w:sz w:val="22"/>
                <w:szCs w:val="22"/>
              </w:rPr>
            </w:pPr>
            <w:r w:rsidRPr="00232B39">
              <w:rPr>
                <w:rFonts w:ascii="Arial" w:hAnsi="Arial" w:cs="Arial"/>
                <w:sz w:val="22"/>
                <w:szCs w:val="22"/>
              </w:rPr>
              <w:t xml:space="preserve">EX-POST REVIEW OF MERGER CONTROL DECISIONS, A study for the European Commission prepared by Lear – </w:t>
            </w:r>
            <w:proofErr w:type="spellStart"/>
            <w:r w:rsidRPr="00232B39">
              <w:rPr>
                <w:rFonts w:ascii="Arial" w:hAnsi="Arial" w:cs="Arial"/>
                <w:sz w:val="22"/>
                <w:szCs w:val="22"/>
              </w:rPr>
              <w:t>Laboratorio</w:t>
            </w:r>
            <w:proofErr w:type="spellEnd"/>
            <w:r w:rsidRPr="00232B39">
              <w:rPr>
                <w:rFonts w:ascii="Arial" w:hAnsi="Arial" w:cs="Arial"/>
                <w:sz w:val="22"/>
                <w:szCs w:val="22"/>
              </w:rPr>
              <w:t xml:space="preserve"> </w:t>
            </w:r>
            <w:proofErr w:type="spellStart"/>
            <w:r w:rsidRPr="00232B39">
              <w:rPr>
                <w:rFonts w:ascii="Arial" w:hAnsi="Arial" w:cs="Arial"/>
                <w:sz w:val="22"/>
                <w:szCs w:val="22"/>
              </w:rPr>
              <w:t>di</w:t>
            </w:r>
            <w:proofErr w:type="spellEnd"/>
            <w:r w:rsidRPr="00232B39">
              <w:rPr>
                <w:rFonts w:ascii="Arial" w:hAnsi="Arial" w:cs="Arial"/>
                <w:sz w:val="22"/>
                <w:szCs w:val="22"/>
              </w:rPr>
              <w:t xml:space="preserve"> </w:t>
            </w:r>
            <w:proofErr w:type="spellStart"/>
            <w:r w:rsidRPr="00232B39">
              <w:rPr>
                <w:rFonts w:ascii="Arial" w:hAnsi="Arial" w:cs="Arial"/>
                <w:sz w:val="22"/>
                <w:szCs w:val="22"/>
              </w:rPr>
              <w:t>economia</w:t>
            </w:r>
            <w:proofErr w:type="spellEnd"/>
            <w:r w:rsidRPr="00232B39">
              <w:rPr>
                <w:rFonts w:ascii="Arial" w:hAnsi="Arial" w:cs="Arial"/>
                <w:sz w:val="22"/>
                <w:szCs w:val="22"/>
              </w:rPr>
              <w:t xml:space="preserve">, antitrust, </w:t>
            </w:r>
            <w:proofErr w:type="spellStart"/>
            <w:r w:rsidRPr="00232B39">
              <w:rPr>
                <w:rFonts w:ascii="Arial" w:hAnsi="Arial" w:cs="Arial"/>
                <w:sz w:val="22"/>
                <w:szCs w:val="22"/>
              </w:rPr>
              <w:t>regolamentazione</w:t>
            </w:r>
            <w:proofErr w:type="spellEnd"/>
            <w:r w:rsidRPr="00232B39">
              <w:rPr>
                <w:rFonts w:ascii="Arial" w:hAnsi="Arial" w:cs="Arial"/>
                <w:sz w:val="22"/>
                <w:szCs w:val="22"/>
              </w:rPr>
              <w:t xml:space="preserve">, </w:t>
            </w:r>
            <w:hyperlink r:id="rId82" w:history="1">
              <w:r w:rsidRPr="00232B39">
                <w:rPr>
                  <w:rStyle w:val="Hyperlink"/>
                  <w:rFonts w:ascii="Arial" w:hAnsi="Arial" w:cs="Arial"/>
                  <w:sz w:val="22"/>
                  <w:szCs w:val="22"/>
                </w:rPr>
                <w:t>http://ec.europa.eu/competition/mergers/studies_reports/lear.pdf</w:t>
              </w:r>
            </w:hyperlink>
          </w:p>
          <w:p w:rsidR="00D92732" w:rsidRPr="00232B39" w:rsidRDefault="00D92732" w:rsidP="0004086D">
            <w:pPr>
              <w:spacing w:after="100"/>
              <w:jc w:val="both"/>
              <w:rPr>
                <w:rFonts w:ascii="Arial" w:hAnsi="Arial" w:cs="Arial"/>
                <w:sz w:val="22"/>
                <w:szCs w:val="22"/>
                <w:lang w:val="el-GR"/>
              </w:rPr>
            </w:pPr>
            <w:r w:rsidRPr="00232B39">
              <w:rPr>
                <w:rFonts w:ascii="Arial" w:hAnsi="Arial" w:cs="Arial"/>
                <w:sz w:val="22"/>
                <w:szCs w:val="22"/>
                <w:lang w:val="el-GR"/>
              </w:rPr>
              <w:t xml:space="preserve">Κατευθυντήριες Γραμμές για την αξιολόγηση των μη οριζόντιων συγκεντρώσεων, σύμφωνα με τον Κανονισμό του Συμβουλίου για τον έλεγχο των συγκεντρώσεων μεταξύ επιχειρήσεων,  ΕΕ </w:t>
            </w:r>
            <w:r w:rsidRPr="00232B39">
              <w:rPr>
                <w:rFonts w:ascii="Arial" w:hAnsi="Arial" w:cs="Arial"/>
                <w:sz w:val="22"/>
                <w:szCs w:val="22"/>
              </w:rPr>
              <w:t>C</w:t>
            </w:r>
            <w:r w:rsidRPr="00232B39">
              <w:rPr>
                <w:rFonts w:ascii="Arial" w:hAnsi="Arial" w:cs="Arial"/>
                <w:sz w:val="22"/>
                <w:szCs w:val="22"/>
                <w:lang w:val="el-GR"/>
              </w:rPr>
              <w:t xml:space="preserve">265, 18.10.2008, σελ. 6-25,  </w:t>
            </w:r>
            <w:hyperlink r:id="rId83" w:history="1">
              <w:r w:rsidRPr="00232B39">
                <w:rPr>
                  <w:rStyle w:val="Hyperlink"/>
                  <w:rFonts w:ascii="Arial" w:hAnsi="Arial" w:cs="Arial"/>
                  <w:sz w:val="22"/>
                  <w:szCs w:val="22"/>
                  <w:lang w:val="el-GR"/>
                </w:rPr>
                <w:t>http://eur-lex.europa.eu/legal-content/EL/TXT/?uri=CELEX%3A52008XC1018%2803%29</w:t>
              </w:r>
            </w:hyperlink>
          </w:p>
          <w:p w:rsidR="00D92732" w:rsidRPr="00232B39" w:rsidRDefault="00D92732" w:rsidP="0004086D">
            <w:pPr>
              <w:spacing w:after="100"/>
              <w:jc w:val="both"/>
              <w:rPr>
                <w:rFonts w:ascii="Arial" w:hAnsi="Arial" w:cs="Arial"/>
                <w:sz w:val="22"/>
                <w:szCs w:val="22"/>
                <w:lang w:val="el-GR"/>
              </w:rPr>
            </w:pPr>
            <w:r w:rsidRPr="00232B39">
              <w:rPr>
                <w:rFonts w:ascii="Arial" w:hAnsi="Arial" w:cs="Arial"/>
                <w:sz w:val="22"/>
                <w:szCs w:val="22"/>
                <w:lang w:val="el-GR"/>
              </w:rPr>
              <w:t xml:space="preserve">Κατευθυντήριες Γραμμές για την αξιολόγηση των οριζόντιων συγκεντρώσεων, σύμφωνα με τον Κανονισμό του Συμβουλίου για τον έλεγχο των συγκεντρώσεων μεταξύ επιχειρήσεων, ΕΕ </w:t>
            </w:r>
            <w:r w:rsidRPr="00232B39">
              <w:rPr>
                <w:rFonts w:ascii="Arial" w:hAnsi="Arial" w:cs="Arial"/>
                <w:sz w:val="22"/>
                <w:szCs w:val="22"/>
              </w:rPr>
              <w:t>C</w:t>
            </w:r>
            <w:r w:rsidRPr="00232B39">
              <w:rPr>
                <w:rFonts w:ascii="Arial" w:hAnsi="Arial" w:cs="Arial"/>
                <w:sz w:val="22"/>
                <w:szCs w:val="22"/>
                <w:lang w:val="el-GR"/>
              </w:rPr>
              <w:t xml:space="preserve">31, 5.2.2004, σελ. 5-18,  </w:t>
            </w:r>
            <w:hyperlink r:id="rId84" w:history="1">
              <w:r w:rsidRPr="00232B39">
                <w:rPr>
                  <w:rStyle w:val="Hyperlink"/>
                  <w:rFonts w:ascii="Arial" w:hAnsi="Arial" w:cs="Arial"/>
                  <w:sz w:val="22"/>
                  <w:szCs w:val="22"/>
                  <w:lang w:val="el-GR"/>
                </w:rPr>
                <w:t>http://eur-lex.europa.eu/legal-content/EL/TXT/?uri=LEGISSUM:l26107</w:t>
              </w:r>
            </w:hyperlink>
          </w:p>
        </w:tc>
      </w:tr>
      <w:tr w:rsidR="00ED1686" w:rsidRPr="00F61FBB" w:rsidTr="00ED1686">
        <w:trPr>
          <w:trHeight w:val="830"/>
        </w:trPr>
        <w:tc>
          <w:tcPr>
            <w:tcW w:w="2835" w:type="dxa"/>
            <w:tcBorders>
              <w:top w:val="single" w:sz="4" w:space="0" w:color="auto"/>
              <w:left w:val="single" w:sz="4" w:space="0" w:color="auto"/>
              <w:bottom w:val="single" w:sz="4" w:space="0" w:color="auto"/>
              <w:right w:val="single" w:sz="4" w:space="0" w:color="auto"/>
            </w:tcBorders>
            <w:vAlign w:val="bottom"/>
          </w:tcPr>
          <w:p w:rsidR="00ED1686" w:rsidRPr="00F61FBB" w:rsidRDefault="00ED1686" w:rsidP="00ED1686">
            <w:pPr>
              <w:rPr>
                <w:rFonts w:ascii="Arial" w:hAnsi="Arial" w:cs="Arial"/>
                <w:b/>
                <w:lang w:val="en-GB"/>
              </w:rPr>
            </w:pPr>
            <w:r w:rsidRPr="00F61FBB">
              <w:rPr>
                <w:rFonts w:ascii="Arial" w:hAnsi="Arial" w:cs="Arial"/>
                <w:b/>
                <w:lang w:val="en-GB"/>
              </w:rPr>
              <w:lastRenderedPageBreak/>
              <w:t>Teaching Methodology</w:t>
            </w:r>
          </w:p>
          <w:p w:rsidR="00ED1686" w:rsidRPr="00F61FBB" w:rsidRDefault="00ED1686" w:rsidP="00ED1686">
            <w:pPr>
              <w:rPr>
                <w:rFonts w:ascii="Arial" w:hAnsi="Arial" w:cs="Arial"/>
                <w:b/>
                <w:lang w:val="it-IT"/>
              </w:rPr>
            </w:pPr>
          </w:p>
        </w:tc>
        <w:tc>
          <w:tcPr>
            <w:tcW w:w="6793" w:type="dxa"/>
            <w:tcBorders>
              <w:top w:val="single" w:sz="4" w:space="0" w:color="auto"/>
              <w:left w:val="single" w:sz="4" w:space="0" w:color="auto"/>
              <w:bottom w:val="single" w:sz="4" w:space="0" w:color="auto"/>
            </w:tcBorders>
            <w:vAlign w:val="center"/>
          </w:tcPr>
          <w:p w:rsidR="005237D1" w:rsidRPr="00232B39" w:rsidRDefault="00814E55" w:rsidP="00ED1686">
            <w:pPr>
              <w:rPr>
                <w:rFonts w:ascii="Arial" w:hAnsi="Arial" w:cs="Arial"/>
                <w:sz w:val="22"/>
              </w:rPr>
            </w:pPr>
            <w:r w:rsidRPr="00232B39">
              <w:rPr>
                <w:rFonts w:ascii="Arial" w:hAnsi="Arial" w:cs="Arial"/>
                <w:sz w:val="22"/>
              </w:rPr>
              <w:t>Slides and presentation of case studies</w:t>
            </w:r>
          </w:p>
        </w:tc>
        <w:tc>
          <w:tcPr>
            <w:tcW w:w="298" w:type="dxa"/>
            <w:tcBorders>
              <w:top w:val="single" w:sz="4" w:space="0" w:color="auto"/>
              <w:left w:val="nil"/>
              <w:bottom w:val="single" w:sz="4" w:space="0" w:color="auto"/>
              <w:right w:val="single" w:sz="4" w:space="0" w:color="auto"/>
            </w:tcBorders>
            <w:vAlign w:val="center"/>
          </w:tcPr>
          <w:p w:rsidR="00ED1686" w:rsidRPr="00232B39" w:rsidRDefault="00ED1686" w:rsidP="00ED1686">
            <w:pPr>
              <w:rPr>
                <w:rFonts w:ascii="Arial" w:hAnsi="Arial" w:cs="Arial"/>
                <w:sz w:val="22"/>
                <w:lang w:val="en-GB"/>
              </w:rPr>
            </w:pPr>
          </w:p>
        </w:tc>
      </w:tr>
      <w:tr w:rsidR="00ED1686" w:rsidRPr="00F61FBB"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F61FBB" w:rsidRDefault="00ED1686" w:rsidP="00ED1686">
            <w:pPr>
              <w:rPr>
                <w:rFonts w:ascii="Arial" w:hAnsi="Arial" w:cs="Arial"/>
                <w:b/>
              </w:rPr>
            </w:pPr>
            <w:r w:rsidRPr="00F61FBB">
              <w:rPr>
                <w:rFonts w:ascii="Arial" w:hAnsi="Arial" w:cs="Arial"/>
                <w:b/>
                <w:lang w:val="en-GB"/>
              </w:rPr>
              <w:t>Language</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232B39" w:rsidRDefault="006E11EB" w:rsidP="00ED1686">
            <w:pPr>
              <w:rPr>
                <w:rFonts w:ascii="Arial" w:hAnsi="Arial" w:cs="Arial"/>
                <w:sz w:val="22"/>
                <w:lang w:val="en-GB"/>
              </w:rPr>
            </w:pPr>
            <w:r w:rsidRPr="00232B39">
              <w:rPr>
                <w:rFonts w:ascii="Arial" w:hAnsi="Arial" w:cs="Arial"/>
                <w:sz w:val="22"/>
                <w:lang w:val="en-GB"/>
              </w:rPr>
              <w:t>Greek</w:t>
            </w:r>
          </w:p>
        </w:tc>
      </w:tr>
    </w:tbl>
    <w:p w:rsidR="00B902C8" w:rsidRPr="00F61FBB" w:rsidRDefault="00B902C8" w:rsidP="00D30CC8">
      <w:pPr>
        <w:rPr>
          <w:rFonts w:ascii="Arial" w:hAnsi="Arial" w:cs="Arial"/>
        </w:rPr>
      </w:pPr>
    </w:p>
    <w:sectPr w:rsidR="00B902C8" w:rsidRPr="00F61FBB" w:rsidSect="006258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7191"/>
    <w:multiLevelType w:val="hybridMultilevel"/>
    <w:tmpl w:val="0C8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21A66"/>
    <w:multiLevelType w:val="hybridMultilevel"/>
    <w:tmpl w:val="C178A096"/>
    <w:lvl w:ilvl="0" w:tplc="47E0CF9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7E5E83"/>
    <w:multiLevelType w:val="hybridMultilevel"/>
    <w:tmpl w:val="438E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D26C2"/>
    <w:multiLevelType w:val="hybridMultilevel"/>
    <w:tmpl w:val="DE2CD6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24054B4"/>
    <w:multiLevelType w:val="hybridMultilevel"/>
    <w:tmpl w:val="DDD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06A1B"/>
    <w:multiLevelType w:val="hybridMultilevel"/>
    <w:tmpl w:val="AAD06B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compat/>
  <w:rsids>
    <w:rsidRoot w:val="00752B25"/>
    <w:rsid w:val="00024C21"/>
    <w:rsid w:val="0004086D"/>
    <w:rsid w:val="00065611"/>
    <w:rsid w:val="00094DB0"/>
    <w:rsid w:val="00096C44"/>
    <w:rsid w:val="000C3F1B"/>
    <w:rsid w:val="000C7640"/>
    <w:rsid w:val="000E2A08"/>
    <w:rsid w:val="00134F21"/>
    <w:rsid w:val="001610DC"/>
    <w:rsid w:val="001652EF"/>
    <w:rsid w:val="00181762"/>
    <w:rsid w:val="00194A5D"/>
    <w:rsid w:val="001B647A"/>
    <w:rsid w:val="001C2D8A"/>
    <w:rsid w:val="001F33EE"/>
    <w:rsid w:val="0021735D"/>
    <w:rsid w:val="00232B39"/>
    <w:rsid w:val="00236157"/>
    <w:rsid w:val="00281020"/>
    <w:rsid w:val="00290CFC"/>
    <w:rsid w:val="00292144"/>
    <w:rsid w:val="002A702C"/>
    <w:rsid w:val="002D403D"/>
    <w:rsid w:val="002D5F97"/>
    <w:rsid w:val="002E7470"/>
    <w:rsid w:val="00330813"/>
    <w:rsid w:val="00335917"/>
    <w:rsid w:val="00343FEB"/>
    <w:rsid w:val="00344E1D"/>
    <w:rsid w:val="0035497D"/>
    <w:rsid w:val="00362B22"/>
    <w:rsid w:val="0038536B"/>
    <w:rsid w:val="00392AA1"/>
    <w:rsid w:val="003E4613"/>
    <w:rsid w:val="003F2756"/>
    <w:rsid w:val="00405767"/>
    <w:rsid w:val="00422AB5"/>
    <w:rsid w:val="004242C1"/>
    <w:rsid w:val="00433DBD"/>
    <w:rsid w:val="00451D5C"/>
    <w:rsid w:val="004532E6"/>
    <w:rsid w:val="00454ED5"/>
    <w:rsid w:val="0045710F"/>
    <w:rsid w:val="004A0B91"/>
    <w:rsid w:val="004A1EED"/>
    <w:rsid w:val="004C15E3"/>
    <w:rsid w:val="004E4826"/>
    <w:rsid w:val="004F712D"/>
    <w:rsid w:val="005108F8"/>
    <w:rsid w:val="00521F0E"/>
    <w:rsid w:val="005237D1"/>
    <w:rsid w:val="00564D9B"/>
    <w:rsid w:val="00573AE7"/>
    <w:rsid w:val="005B06A8"/>
    <w:rsid w:val="005B5970"/>
    <w:rsid w:val="005C010B"/>
    <w:rsid w:val="005D3B70"/>
    <w:rsid w:val="005E6B20"/>
    <w:rsid w:val="00601BA3"/>
    <w:rsid w:val="00625839"/>
    <w:rsid w:val="00650997"/>
    <w:rsid w:val="0065110D"/>
    <w:rsid w:val="00664E7A"/>
    <w:rsid w:val="00694C61"/>
    <w:rsid w:val="006A493C"/>
    <w:rsid w:val="006C12DB"/>
    <w:rsid w:val="006C67D4"/>
    <w:rsid w:val="006D1521"/>
    <w:rsid w:val="006E11EB"/>
    <w:rsid w:val="006E60D0"/>
    <w:rsid w:val="007024ED"/>
    <w:rsid w:val="007065BE"/>
    <w:rsid w:val="007410D0"/>
    <w:rsid w:val="00742517"/>
    <w:rsid w:val="007520A5"/>
    <w:rsid w:val="00752B25"/>
    <w:rsid w:val="00756F93"/>
    <w:rsid w:val="00761566"/>
    <w:rsid w:val="00776655"/>
    <w:rsid w:val="00777ED5"/>
    <w:rsid w:val="00797CDA"/>
    <w:rsid w:val="007B4922"/>
    <w:rsid w:val="007D4DC0"/>
    <w:rsid w:val="007E1FA2"/>
    <w:rsid w:val="007F2457"/>
    <w:rsid w:val="0081079A"/>
    <w:rsid w:val="00814E55"/>
    <w:rsid w:val="00835AB7"/>
    <w:rsid w:val="00835F79"/>
    <w:rsid w:val="0085081B"/>
    <w:rsid w:val="00851060"/>
    <w:rsid w:val="00855C97"/>
    <w:rsid w:val="00866451"/>
    <w:rsid w:val="008A01F6"/>
    <w:rsid w:val="008A180B"/>
    <w:rsid w:val="008B1442"/>
    <w:rsid w:val="008B620E"/>
    <w:rsid w:val="008E50FA"/>
    <w:rsid w:val="008F0950"/>
    <w:rsid w:val="009050AD"/>
    <w:rsid w:val="00925370"/>
    <w:rsid w:val="00935FF6"/>
    <w:rsid w:val="009753EC"/>
    <w:rsid w:val="009E5859"/>
    <w:rsid w:val="00A52719"/>
    <w:rsid w:val="00AA2C5F"/>
    <w:rsid w:val="00AC0285"/>
    <w:rsid w:val="00AC1D84"/>
    <w:rsid w:val="00AC7B9E"/>
    <w:rsid w:val="00B21BAC"/>
    <w:rsid w:val="00B538D3"/>
    <w:rsid w:val="00B61200"/>
    <w:rsid w:val="00B64198"/>
    <w:rsid w:val="00B70A5D"/>
    <w:rsid w:val="00B813B4"/>
    <w:rsid w:val="00B902C8"/>
    <w:rsid w:val="00B94A95"/>
    <w:rsid w:val="00BB11EA"/>
    <w:rsid w:val="00BE2359"/>
    <w:rsid w:val="00BF01AC"/>
    <w:rsid w:val="00C0096E"/>
    <w:rsid w:val="00C1049E"/>
    <w:rsid w:val="00C108A0"/>
    <w:rsid w:val="00C23724"/>
    <w:rsid w:val="00C26E20"/>
    <w:rsid w:val="00C315D9"/>
    <w:rsid w:val="00C36499"/>
    <w:rsid w:val="00C37B74"/>
    <w:rsid w:val="00C37C96"/>
    <w:rsid w:val="00C65EE5"/>
    <w:rsid w:val="00C75B07"/>
    <w:rsid w:val="00C84127"/>
    <w:rsid w:val="00C9661D"/>
    <w:rsid w:val="00C96B2C"/>
    <w:rsid w:val="00CD2E2A"/>
    <w:rsid w:val="00CF5053"/>
    <w:rsid w:val="00D22AC1"/>
    <w:rsid w:val="00D305A4"/>
    <w:rsid w:val="00D30821"/>
    <w:rsid w:val="00D30CC8"/>
    <w:rsid w:val="00D6372B"/>
    <w:rsid w:val="00D70E09"/>
    <w:rsid w:val="00D775A6"/>
    <w:rsid w:val="00D92732"/>
    <w:rsid w:val="00D97C6A"/>
    <w:rsid w:val="00DA0CF6"/>
    <w:rsid w:val="00DA3386"/>
    <w:rsid w:val="00DB0570"/>
    <w:rsid w:val="00DB34BF"/>
    <w:rsid w:val="00E02E33"/>
    <w:rsid w:val="00E13EE4"/>
    <w:rsid w:val="00E2764E"/>
    <w:rsid w:val="00E5471C"/>
    <w:rsid w:val="00E63AFC"/>
    <w:rsid w:val="00E90B8E"/>
    <w:rsid w:val="00E92415"/>
    <w:rsid w:val="00EB62EF"/>
    <w:rsid w:val="00EC6B6E"/>
    <w:rsid w:val="00ED1686"/>
    <w:rsid w:val="00ED4DB8"/>
    <w:rsid w:val="00ED7637"/>
    <w:rsid w:val="00F17F03"/>
    <w:rsid w:val="00F553D2"/>
    <w:rsid w:val="00F577FE"/>
    <w:rsid w:val="00F61E5A"/>
    <w:rsid w:val="00F61FBB"/>
    <w:rsid w:val="00F949F3"/>
    <w:rsid w:val="00FA275F"/>
    <w:rsid w:val="00FF2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25"/>
    <w:rPr>
      <w:rFonts w:ascii="Times New Roman" w:eastAsia="Times New Roman" w:hAnsi="Times New Roman"/>
      <w:sz w:val="24"/>
      <w:szCs w:val="24"/>
      <w:lang w:val="en-US" w:eastAsia="en-US"/>
    </w:rPr>
  </w:style>
  <w:style w:type="paragraph" w:styleId="Heading1">
    <w:name w:val="heading 1"/>
    <w:aliases w:val="h1"/>
    <w:basedOn w:val="Normal"/>
    <w:next w:val="Normal"/>
    <w:link w:val="Heading1Char"/>
    <w:uiPriority w:val="99"/>
    <w:qFormat/>
    <w:rsid w:val="00752B25"/>
    <w:pPr>
      <w:keepNext/>
      <w:jc w:val="center"/>
      <w:outlineLvl w:val="0"/>
    </w:pPr>
    <w:rPr>
      <w:rFonts w:ascii="Arial" w:hAnsi="Arial"/>
      <w:b/>
      <w:bCs/>
      <w:lang w:val="el-G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752B25"/>
    <w:rPr>
      <w:rFonts w:ascii="Arial" w:hAnsi="Arial"/>
      <w:b/>
      <w:sz w:val="24"/>
      <w:lang w:val="el-GR"/>
    </w:rPr>
  </w:style>
  <w:style w:type="paragraph" w:styleId="ListParagraph">
    <w:name w:val="List Paragraph"/>
    <w:basedOn w:val="Normal"/>
    <w:uiPriority w:val="34"/>
    <w:qFormat/>
    <w:rsid w:val="00752B25"/>
    <w:pPr>
      <w:spacing w:before="160" w:after="80"/>
      <w:ind w:left="720" w:hanging="216"/>
      <w:contextualSpacing/>
      <w:jc w:val="center"/>
    </w:pPr>
    <w:rPr>
      <w:rFonts w:ascii="Calibri" w:eastAsia="Calibri" w:hAnsi="Calibri"/>
      <w:sz w:val="22"/>
      <w:szCs w:val="22"/>
    </w:rPr>
  </w:style>
  <w:style w:type="character" w:customStyle="1" w:styleId="hps">
    <w:name w:val="hps"/>
    <w:uiPriority w:val="99"/>
    <w:rsid w:val="00752B25"/>
  </w:style>
  <w:style w:type="paragraph" w:styleId="CommentText">
    <w:name w:val="annotation text"/>
    <w:basedOn w:val="Normal"/>
    <w:link w:val="CommentTextChar"/>
    <w:uiPriority w:val="99"/>
    <w:semiHidden/>
    <w:unhideWhenUsed/>
    <w:rsid w:val="00C96B2C"/>
  </w:style>
  <w:style w:type="character" w:customStyle="1" w:styleId="CommentTextChar">
    <w:name w:val="Comment Text Char"/>
    <w:basedOn w:val="DefaultParagraphFont"/>
    <w:link w:val="CommentText"/>
    <w:uiPriority w:val="99"/>
    <w:semiHidden/>
    <w:rsid w:val="00C96B2C"/>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C96B2C"/>
    <w:rPr>
      <w:sz w:val="16"/>
      <w:szCs w:val="16"/>
    </w:rPr>
  </w:style>
  <w:style w:type="paragraph" w:styleId="BalloonText">
    <w:name w:val="Balloon Text"/>
    <w:basedOn w:val="Normal"/>
    <w:link w:val="BalloonTextChar"/>
    <w:uiPriority w:val="99"/>
    <w:semiHidden/>
    <w:unhideWhenUsed/>
    <w:rsid w:val="00C96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B2C"/>
    <w:rPr>
      <w:rFonts w:ascii="Lucida Grande" w:eastAsia="Times New Roman" w:hAnsi="Lucida Grande" w:cs="Lucida Grande"/>
      <w:sz w:val="18"/>
      <w:szCs w:val="18"/>
      <w:lang w:val="en-US" w:eastAsia="en-US"/>
    </w:rPr>
  </w:style>
  <w:style w:type="character" w:styleId="Hyperlink">
    <w:name w:val="Hyperlink"/>
    <w:basedOn w:val="DefaultParagraphFont"/>
    <w:uiPriority w:val="99"/>
    <w:unhideWhenUsed/>
    <w:rsid w:val="0065110D"/>
    <w:rPr>
      <w:color w:val="0000FF" w:themeColor="hyperlink"/>
      <w:u w:val="single"/>
    </w:rPr>
  </w:style>
  <w:style w:type="paragraph" w:styleId="FootnoteText">
    <w:name w:val="footnote text"/>
    <w:basedOn w:val="Normal"/>
    <w:link w:val="FootnoteTextChar"/>
    <w:uiPriority w:val="99"/>
    <w:unhideWhenUsed/>
    <w:qFormat/>
    <w:rsid w:val="0065110D"/>
  </w:style>
  <w:style w:type="character" w:customStyle="1" w:styleId="FootnoteTextChar">
    <w:name w:val="Footnote Text Char"/>
    <w:basedOn w:val="DefaultParagraphFont"/>
    <w:link w:val="FootnoteText"/>
    <w:uiPriority w:val="99"/>
    <w:rsid w:val="0065110D"/>
    <w:rPr>
      <w:rFonts w:ascii="Times New Roman" w:eastAsia="Times New Roman" w:hAnsi="Times New Roman"/>
      <w:sz w:val="24"/>
      <w:szCs w:val="24"/>
      <w:lang w:val="en-US" w:eastAsia="en-US"/>
    </w:rPr>
  </w:style>
  <w:style w:type="character" w:customStyle="1" w:styleId="a">
    <w:name w:val="_"/>
    <w:basedOn w:val="DefaultParagraphFont"/>
    <w:rsid w:val="00E92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B25"/>
    <w:rPr>
      <w:rFonts w:ascii="Times New Roman" w:eastAsia="Times New Roman" w:hAnsi="Times New Roman"/>
      <w:sz w:val="24"/>
      <w:szCs w:val="24"/>
      <w:lang w:val="en-US" w:eastAsia="en-US"/>
    </w:rPr>
  </w:style>
  <w:style w:type="paragraph" w:styleId="1">
    <w:name w:val="heading 1"/>
    <w:aliases w:val="h1"/>
    <w:basedOn w:val="a"/>
    <w:next w:val="a"/>
    <w:link w:val="1Char"/>
    <w:uiPriority w:val="99"/>
    <w:qFormat/>
    <w:rsid w:val="00752B25"/>
    <w:pPr>
      <w:keepNext/>
      <w:jc w:val="center"/>
      <w:outlineLvl w:val="0"/>
    </w:pPr>
    <w:rPr>
      <w:rFonts w:ascii="Arial" w:hAnsi="Arial"/>
      <w:b/>
      <w:bCs/>
      <w:lang w:val="el-GR"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Titolo 1 Carattere"/>
    <w:aliases w:val="h1 Carattere"/>
    <w:basedOn w:val="a0"/>
    <w:link w:val="1"/>
    <w:uiPriority w:val="99"/>
    <w:locked/>
    <w:rsid w:val="00752B25"/>
    <w:rPr>
      <w:rFonts w:ascii="Arial" w:hAnsi="Arial"/>
      <w:b/>
      <w:sz w:val="24"/>
      <w:lang w:val="el-GR"/>
    </w:rPr>
  </w:style>
  <w:style w:type="paragraph" w:styleId="a3">
    <w:name w:val="List Paragraph"/>
    <w:basedOn w:val="a"/>
    <w:uiPriority w:val="34"/>
    <w:qFormat/>
    <w:rsid w:val="00752B25"/>
    <w:pPr>
      <w:spacing w:before="160" w:after="80"/>
      <w:ind w:left="720" w:hanging="216"/>
      <w:contextualSpacing/>
      <w:jc w:val="center"/>
    </w:pPr>
    <w:rPr>
      <w:rFonts w:ascii="Calibri" w:eastAsia="Calibri" w:hAnsi="Calibri"/>
      <w:sz w:val="22"/>
      <w:szCs w:val="22"/>
    </w:rPr>
  </w:style>
  <w:style w:type="character" w:customStyle="1" w:styleId="hps">
    <w:name w:val="hps"/>
    <w:uiPriority w:val="99"/>
    <w:rsid w:val="00752B25"/>
  </w:style>
  <w:style w:type="paragraph" w:styleId="a4">
    <w:name w:val="annotation text"/>
    <w:basedOn w:val="a"/>
    <w:link w:val="Char"/>
    <w:uiPriority w:val="99"/>
    <w:semiHidden/>
    <w:unhideWhenUsed/>
    <w:rsid w:val="00C96B2C"/>
  </w:style>
  <w:style w:type="character" w:customStyle="1" w:styleId="Char">
    <w:name w:val="Testo commento Carattere"/>
    <w:basedOn w:val="a0"/>
    <w:link w:val="a4"/>
    <w:uiPriority w:val="99"/>
    <w:semiHidden/>
    <w:rsid w:val="00C96B2C"/>
    <w:rPr>
      <w:rFonts w:ascii="Times New Roman" w:eastAsia="Times New Roman" w:hAnsi="Times New Roman"/>
      <w:sz w:val="24"/>
      <w:szCs w:val="24"/>
      <w:lang w:val="en-US" w:eastAsia="en-US"/>
    </w:rPr>
  </w:style>
  <w:style w:type="character" w:styleId="a5">
    <w:name w:val="annotation reference"/>
    <w:uiPriority w:val="99"/>
    <w:semiHidden/>
    <w:unhideWhenUsed/>
    <w:rsid w:val="00C96B2C"/>
    <w:rPr>
      <w:sz w:val="16"/>
      <w:szCs w:val="16"/>
    </w:rPr>
  </w:style>
  <w:style w:type="paragraph" w:styleId="a6">
    <w:name w:val="Balloon Text"/>
    <w:basedOn w:val="a"/>
    <w:link w:val="Char0"/>
    <w:uiPriority w:val="99"/>
    <w:semiHidden/>
    <w:unhideWhenUsed/>
    <w:rsid w:val="00C96B2C"/>
    <w:rPr>
      <w:rFonts w:ascii="Lucida Grande" w:hAnsi="Lucida Grande" w:cs="Lucida Grande"/>
      <w:sz w:val="18"/>
      <w:szCs w:val="18"/>
    </w:rPr>
  </w:style>
  <w:style w:type="character" w:customStyle="1" w:styleId="Char0">
    <w:name w:val="Testo fumetto Carattere"/>
    <w:basedOn w:val="a0"/>
    <w:link w:val="a6"/>
    <w:uiPriority w:val="99"/>
    <w:semiHidden/>
    <w:rsid w:val="00C96B2C"/>
    <w:rPr>
      <w:rFonts w:ascii="Lucida Grande" w:eastAsia="Times New Roman" w:hAnsi="Lucida Grande" w:cs="Lucida Grande"/>
      <w:sz w:val="18"/>
      <w:szCs w:val="18"/>
      <w:lang w:val="en-US" w:eastAsia="en-US"/>
    </w:rPr>
  </w:style>
  <w:style w:type="character" w:styleId="-">
    <w:name w:val="Hyperlink"/>
    <w:basedOn w:val="a0"/>
    <w:uiPriority w:val="99"/>
    <w:unhideWhenUsed/>
    <w:rsid w:val="0065110D"/>
    <w:rPr>
      <w:color w:val="0000FF" w:themeColor="hyperlink"/>
      <w:u w:val="single"/>
    </w:rPr>
  </w:style>
  <w:style w:type="paragraph" w:styleId="a7">
    <w:name w:val="footnote text"/>
    <w:basedOn w:val="a"/>
    <w:link w:val="Char1"/>
    <w:uiPriority w:val="99"/>
    <w:unhideWhenUsed/>
    <w:qFormat/>
    <w:rsid w:val="0065110D"/>
  </w:style>
  <w:style w:type="character" w:customStyle="1" w:styleId="Char1">
    <w:name w:val="Testo nota a piè di pagina Carattere"/>
    <w:basedOn w:val="a0"/>
    <w:link w:val="a7"/>
    <w:uiPriority w:val="99"/>
    <w:rsid w:val="0065110D"/>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3585231">
      <w:bodyDiv w:val="1"/>
      <w:marLeft w:val="0"/>
      <w:marRight w:val="0"/>
      <w:marTop w:val="0"/>
      <w:marBottom w:val="0"/>
      <w:divBdr>
        <w:top w:val="none" w:sz="0" w:space="0" w:color="auto"/>
        <w:left w:val="none" w:sz="0" w:space="0" w:color="auto"/>
        <w:bottom w:val="none" w:sz="0" w:space="0" w:color="auto"/>
        <w:right w:val="none" w:sz="0" w:space="0" w:color="auto"/>
      </w:divBdr>
    </w:div>
    <w:div w:id="346638072">
      <w:bodyDiv w:val="1"/>
      <w:marLeft w:val="0"/>
      <w:marRight w:val="0"/>
      <w:marTop w:val="0"/>
      <w:marBottom w:val="0"/>
      <w:divBdr>
        <w:top w:val="none" w:sz="0" w:space="0" w:color="auto"/>
        <w:left w:val="none" w:sz="0" w:space="0" w:color="auto"/>
        <w:bottom w:val="none" w:sz="0" w:space="0" w:color="auto"/>
        <w:right w:val="none" w:sz="0" w:space="0" w:color="auto"/>
      </w:divBdr>
    </w:div>
    <w:div w:id="491874692">
      <w:bodyDiv w:val="1"/>
      <w:marLeft w:val="0"/>
      <w:marRight w:val="0"/>
      <w:marTop w:val="0"/>
      <w:marBottom w:val="0"/>
      <w:divBdr>
        <w:top w:val="none" w:sz="0" w:space="0" w:color="auto"/>
        <w:left w:val="none" w:sz="0" w:space="0" w:color="auto"/>
        <w:bottom w:val="none" w:sz="0" w:space="0" w:color="auto"/>
        <w:right w:val="none" w:sz="0" w:space="0" w:color="auto"/>
      </w:divBdr>
    </w:div>
    <w:div w:id="16765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EN/TXT/?uri=CELEX%3A61984CJ0311" TargetMode="External"/><Relationship Id="rId18" Type="http://schemas.openxmlformats.org/officeDocument/2006/relationships/hyperlink" Target="http://eur-lex.europa.eu/legal-content/EN/TXT/?uri=CELEX%3A61994TJ0229" TargetMode="External"/><Relationship Id="rId26" Type="http://schemas.openxmlformats.org/officeDocument/2006/relationships/hyperlink" Target="http://eur-lex.europa.eu/legal-content/EN/TXT/?uri=CELEX%3A62001TJ0066" TargetMode="External"/><Relationship Id="rId39" Type="http://schemas.openxmlformats.org/officeDocument/2006/relationships/hyperlink" Target="http://curia.europa.eu/juris/liste.jsf?language=en&amp;num=C-7/97" TargetMode="External"/><Relationship Id="rId21" Type="http://schemas.openxmlformats.org/officeDocument/2006/relationships/hyperlink" Target="http://curia.europa.eu/juris/liste.jsf?language=en&amp;num=C-202/07" TargetMode="External"/><Relationship Id="rId34" Type="http://schemas.openxmlformats.org/officeDocument/2006/relationships/hyperlink" Target="http://curia.europa.eu/juris/showPdf.jsf?docid=72091&amp;doclang=en" TargetMode="External"/><Relationship Id="rId42" Type="http://schemas.openxmlformats.org/officeDocument/2006/relationships/hyperlink" Target="http://curia.europa.eu/juris/liste.jsf;jsessionid=9ea7d2dc30d5b3fce4c472314d89a307c64709ced193.e34KaxiLc3qMb40Rch0SaxyKaNz0?num=T-69/89&amp;language=en" TargetMode="External"/><Relationship Id="rId47" Type="http://schemas.openxmlformats.org/officeDocument/2006/relationships/hyperlink" Target="http://eur-lex.europa.eu/legal-content/EN/TXT/?uri=CELEX%3A61993TJ0504" TargetMode="External"/><Relationship Id="rId50" Type="http://schemas.openxmlformats.org/officeDocument/2006/relationships/hyperlink" Target="http://curia.europa.eu/juris/liste.jsf?language=en&amp;jur=C,T,F&amp;num=27/76&amp;td=ALL" TargetMode="External"/><Relationship Id="rId55" Type="http://schemas.openxmlformats.org/officeDocument/2006/relationships/hyperlink" Target="http://curia.europa.eu/juris/liste.jsf?language=en&amp;num=C-27/87" TargetMode="External"/><Relationship Id="rId63" Type="http://schemas.openxmlformats.org/officeDocument/2006/relationships/hyperlink" Target="http://ec.europa.eu/competition/mergers/cases/decisions/m2337_en.pdf" TargetMode="External"/><Relationship Id="rId68" Type="http://schemas.openxmlformats.org/officeDocument/2006/relationships/hyperlink" Target="http://eur-lex.europa.eu/legal-content/EN/TXT/?uri=CELEX%3A31992D0553" TargetMode="External"/><Relationship Id="rId76" Type="http://schemas.openxmlformats.org/officeDocument/2006/relationships/hyperlink" Target="http://ec.europa.eu/competition/mergers/cases/decisions/m4942_20080702_20682_en.pdf" TargetMode="External"/><Relationship Id="rId84" Type="http://schemas.openxmlformats.org/officeDocument/2006/relationships/hyperlink" Target="http://eur-lex.europa.eu/legal-content/EL/TXT/?uri=LEGISSUM:l26107" TargetMode="External"/><Relationship Id="rId7" Type="http://schemas.openxmlformats.org/officeDocument/2006/relationships/hyperlink" Target="http://curia.europa.eu/juris/liste.jsf?language=en&amp;num=T-128/98" TargetMode="External"/><Relationship Id="rId71" Type="http://schemas.openxmlformats.org/officeDocument/2006/relationships/hyperlink" Target="http://eur-lex.europa.eu/LexUriServ/LexUriServ.do?uri=CELEX:31998D0327:EN:HTML" TargetMode="External"/><Relationship Id="rId2" Type="http://schemas.openxmlformats.org/officeDocument/2006/relationships/styles" Target="styles.xml"/><Relationship Id="rId16" Type="http://schemas.openxmlformats.org/officeDocument/2006/relationships/hyperlink" Target="http://curia.europa.eu/juris/liste.jsf?num=T-24/93&amp;language=en" TargetMode="External"/><Relationship Id="rId29" Type="http://schemas.openxmlformats.org/officeDocument/2006/relationships/hyperlink" Target="http://curia.europa.eu/juris/liste.jsf?num=T-286/09" TargetMode="External"/><Relationship Id="rId11" Type="http://schemas.openxmlformats.org/officeDocument/2006/relationships/hyperlink" Target="http://curia.europa.eu/juris/showPdf.jsf?docid=71884&amp;doclang=EN" TargetMode="External"/><Relationship Id="rId24" Type="http://schemas.openxmlformats.org/officeDocument/2006/relationships/hyperlink" Target="http://eur-lex.europa.eu/legal-content/EN/ALL/?uri=CELEX%3A61976CC0085" TargetMode="External"/><Relationship Id="rId32" Type="http://schemas.openxmlformats.org/officeDocument/2006/relationships/hyperlink" Target="http://curia.europa.eu/juris/liste.jsf?language=en&amp;num=T-65/96" TargetMode="External"/><Relationship Id="rId37" Type="http://schemas.openxmlformats.org/officeDocument/2006/relationships/hyperlink" Target="http://curia.europa.eu/juris/liste.jsf?language=en&amp;num=C-202/07" TargetMode="External"/><Relationship Id="rId40" Type="http://schemas.openxmlformats.org/officeDocument/2006/relationships/hyperlink" Target="http://curia.europa.eu/juris/liste.jsf?num=C-209/10&amp;language=EN" TargetMode="External"/><Relationship Id="rId45" Type="http://schemas.openxmlformats.org/officeDocument/2006/relationships/hyperlink" Target="http://eur-lex.europa.eu/legal-content/EL/TXT/?uri=CELEX%3A61994CJ0333" TargetMode="External"/><Relationship Id="rId53" Type="http://schemas.openxmlformats.org/officeDocument/2006/relationships/hyperlink" Target="http://eur-lex.europa.eu/legal-content/EN/TXT/?uri=CELEX%3A61992CJ0250" TargetMode="External"/><Relationship Id="rId58" Type="http://schemas.openxmlformats.org/officeDocument/2006/relationships/hyperlink" Target="http://eur-lex.europa.eu/legal-content/EL/TXT/?uri=CELEX%3A61981CJ0262" TargetMode="External"/><Relationship Id="rId66" Type="http://schemas.openxmlformats.org/officeDocument/2006/relationships/hyperlink" Target="http://europe.eu.int/comm/competition/mergers//index/m33.html" TargetMode="External"/><Relationship Id="rId74" Type="http://schemas.openxmlformats.org/officeDocument/2006/relationships/hyperlink" Target="http://ec.europa.eu/competition/mergers/cases/decisions/m2502_en.pdf" TargetMode="External"/><Relationship Id="rId79" Type="http://schemas.openxmlformats.org/officeDocument/2006/relationships/hyperlink" Target="http://eur-lex.europa.eu/legal-content/EN/TXT/?uri=CELEX:52009XC0224(01)" TargetMode="External"/><Relationship Id="rId87" Type="http://schemas.microsoft.com/office/2007/relationships/stylesWithEffects" Target="stylesWithEffects.xml"/><Relationship Id="rId5" Type="http://schemas.openxmlformats.org/officeDocument/2006/relationships/hyperlink" Target="http://curia.europa.eu/juris/liste.jsf?language=en&amp;num=T-139/98" TargetMode="External"/><Relationship Id="rId61" Type="http://schemas.openxmlformats.org/officeDocument/2006/relationships/hyperlink" Target="http://curia.europa.eu/juris/liste.jsf?language=en&amp;num=C-161/84" TargetMode="External"/><Relationship Id="rId82" Type="http://schemas.openxmlformats.org/officeDocument/2006/relationships/hyperlink" Target="http://ec.europa.eu/competition/mergers/studies_reports/lear.pdf" TargetMode="External"/><Relationship Id="rId19" Type="http://schemas.openxmlformats.org/officeDocument/2006/relationships/hyperlink" Target="http://curia.europa.eu/juris/liste.jsf?language=en&amp;jur=C,T,F&amp;num=6-72&amp;td=ALL" TargetMode="External"/><Relationship Id="rId4" Type="http://schemas.openxmlformats.org/officeDocument/2006/relationships/webSettings" Target="webSettings.xml"/><Relationship Id="rId9" Type="http://schemas.openxmlformats.org/officeDocument/2006/relationships/hyperlink" Target="http://eur-lex.europa.eu/legal-content/EN/TXT/?uri=CELEX%3A61977CJ0077" TargetMode="External"/><Relationship Id="rId14" Type="http://schemas.openxmlformats.org/officeDocument/2006/relationships/hyperlink" Target="http://eur-lex.europa.eu/legal-content/EL/TXT/?uri=CELEX%3A61981CJ0283" TargetMode="External"/><Relationship Id="rId22" Type="http://schemas.openxmlformats.org/officeDocument/2006/relationships/hyperlink" Target="http://eur-lex.europa.eu/legal-content/EN/TXT/?uri=CELEX%3A61992CJ0250" TargetMode="External"/><Relationship Id="rId27" Type="http://schemas.openxmlformats.org/officeDocument/2006/relationships/hyperlink" Target="http://curia.europa.eu/juris/liste.jsf?num=C-418/01" TargetMode="External"/><Relationship Id="rId30" Type="http://schemas.openxmlformats.org/officeDocument/2006/relationships/hyperlink" Target="http://curia.europa.eu/juris/liste.jsf?pro=&amp;nat=or&amp;oqp=&amp;dates=&amp;lg=&amp;language=el&amp;jur=C%2CT%2CF&amp;cit=none%252CC%252CCJ%252CR%252C2008E%252C%252C%252C%252C%252C%252C%252C%252C%252C%252Ctrue%252Cfalse%252Cfalse&amp;num=T-228%252F97&amp;td=%3BALL&amp;pcs=Oor&amp;avg=&amp;page=1&amp;mat=or&amp;jge=&amp;for=&amp;cid=327970" TargetMode="External"/><Relationship Id="rId35" Type="http://schemas.openxmlformats.org/officeDocument/2006/relationships/hyperlink" Target="http://curia.europa.eu/juris/liste.jsf?language=en&amp;num=T-201/04" TargetMode="External"/><Relationship Id="rId43" Type="http://schemas.openxmlformats.org/officeDocument/2006/relationships/hyperlink" Target="http://curia.europa.eu/juris/liste.jsf?language=en&amp;num=T-57/01" TargetMode="External"/><Relationship Id="rId48" Type="http://schemas.openxmlformats.org/officeDocument/2006/relationships/hyperlink" Target="http://curia.europa.eu/juris/liste.jsf?language=en&amp;num=C-549/10%20P" TargetMode="External"/><Relationship Id="rId56" Type="http://schemas.openxmlformats.org/officeDocument/2006/relationships/hyperlink" Target="http://curia.europa.eu/juris/liste.jsf?language=en&amp;num=C-7/95" TargetMode="External"/><Relationship Id="rId64" Type="http://schemas.openxmlformats.org/officeDocument/2006/relationships/hyperlink" Target="http://ec.europa.eu/competition/mergers/cases/decisions/m1221_19990203_600_en.pdf" TargetMode="External"/><Relationship Id="rId69" Type="http://schemas.openxmlformats.org/officeDocument/2006/relationships/hyperlink" Target="http://eur-lex.europa.eu/legal-content/EN/TXT/?uri=CELEX%3A31997D0610" TargetMode="External"/><Relationship Id="rId77" Type="http://schemas.openxmlformats.org/officeDocument/2006/relationships/hyperlink" Target="http://eur-lex.europa.eu/LexUriServ/LexUriServ.do?uri=CELEX:31994D0449:EN:HTML" TargetMode="External"/><Relationship Id="rId8" Type="http://schemas.openxmlformats.org/officeDocument/2006/relationships/hyperlink" Target="http://curia.europa.eu/juris/liste.jsf?language=en&amp;jur=C,T,F&amp;num=62/86&amp;td=ALL" TargetMode="External"/><Relationship Id="rId51" Type="http://schemas.openxmlformats.org/officeDocument/2006/relationships/hyperlink" Target="http://eur-lex.europa.eu/legal-content/EN/TXT/?qid=1497482503067&amp;uri=CELEX:61998TJ0062" TargetMode="External"/><Relationship Id="rId72" Type="http://schemas.openxmlformats.org/officeDocument/2006/relationships/hyperlink" Target="http://eur-lex.europa.eu/legal-content/EN/TXT/?uri=CELEX%3A32002D0156" TargetMode="External"/><Relationship Id="rId80" Type="http://schemas.openxmlformats.org/officeDocument/2006/relationships/hyperlink" Target="http://eur-lex.europa.eu/LexUriServ/LexUriServ.do?uri=OJ:C:2004:101:0097:0118:EN:PD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uria.europa.eu/juris/showPdf.jsf;jsessionid=9ea7d2dc30db6cd9f6d3f7744c0c993cdc951b9f1d75.e34KaxiLc3qMb40Rch0SaxuLbx10?text=&amp;docid=62071&amp;pageIndex=0&amp;doclang=EN&amp;mode=lst&amp;dir=&amp;occ=first&amp;part=1&amp;cid=73323" TargetMode="External"/><Relationship Id="rId17" Type="http://schemas.openxmlformats.org/officeDocument/2006/relationships/hyperlink" Target="http://eur-lex.europa.eu/legal-content/DA/TXT/?uri=CELEX:61973CJ0040" TargetMode="External"/><Relationship Id="rId25" Type="http://schemas.openxmlformats.org/officeDocument/2006/relationships/hyperlink" Target="http://eur-lex.europa.eu/legal-content/EN/TXT/?uri=CELEX%3A61973CJ0006" TargetMode="External"/><Relationship Id="rId33" Type="http://schemas.openxmlformats.org/officeDocument/2006/relationships/hyperlink" Target="http://eur-lex.europa.eu/legal-content/EN/TXT/?uri=CELEX%3A62000CO0241" TargetMode="External"/><Relationship Id="rId38" Type="http://schemas.openxmlformats.org/officeDocument/2006/relationships/hyperlink" Target="http://curia.europa.eu/juris/liste.jsf?language=en&amp;num=C-549/10%20P" TargetMode="External"/><Relationship Id="rId46" Type="http://schemas.openxmlformats.org/officeDocument/2006/relationships/hyperlink" Target="http://eur-lex.europa.eu/legal-content/EN/TXT/?uri=CELEX%3A61991TJ0083" TargetMode="External"/><Relationship Id="rId59" Type="http://schemas.openxmlformats.org/officeDocument/2006/relationships/hyperlink" Target="http://curia.europa.eu/juris/liste.jsf?language=en&amp;num=C-439/09" TargetMode="External"/><Relationship Id="rId67" Type="http://schemas.openxmlformats.org/officeDocument/2006/relationships/hyperlink" Target="http://ec.europa.eu/competition/mergers/cases/decisions/m619_en.pdf" TargetMode="External"/><Relationship Id="rId20" Type="http://schemas.openxmlformats.org/officeDocument/2006/relationships/hyperlink" Target="http://eur-lex.europa.eu/legal-content/EN/TXT/?uri=CELEX%3A62003TJ0340" TargetMode="External"/><Relationship Id="rId41" Type="http://schemas.openxmlformats.org/officeDocument/2006/relationships/hyperlink" Target="http://curia.europa.eu/juris/liste.jsf?num=C-241/91%20P" TargetMode="External"/><Relationship Id="rId54" Type="http://schemas.openxmlformats.org/officeDocument/2006/relationships/hyperlink" Target="http://eur-lex.europa.eu/legal-content/EN/TXT/?uri=CELEX%3A61989CJ0234" TargetMode="External"/><Relationship Id="rId62" Type="http://schemas.openxmlformats.org/officeDocument/2006/relationships/hyperlink" Target="http://curia.europa.eu/juris/liste.jsf?language=en&amp;num=C-56/65" TargetMode="External"/><Relationship Id="rId70" Type="http://schemas.openxmlformats.org/officeDocument/2006/relationships/hyperlink" Target="http://eur-lex.europa.eu/legal-content/EL/TXT/?uri=CELEX:31994D0811" TargetMode="External"/><Relationship Id="rId75" Type="http://schemas.openxmlformats.org/officeDocument/2006/relationships/hyperlink" Target="http://ec.europa.eu/competition/mergers/cases/decisions/m4854_20080514_20682_en.pdf" TargetMode="External"/><Relationship Id="rId83" Type="http://schemas.openxmlformats.org/officeDocument/2006/relationships/hyperlink" Target="http://eur-lex.europa.eu/legal-content/EL/TXT/?uri=CELEX%3A52008XC1018%2803%29" TargetMode="External"/><Relationship Id="rId1" Type="http://schemas.openxmlformats.org/officeDocument/2006/relationships/numbering" Target="numbering.xml"/><Relationship Id="rId6" Type="http://schemas.openxmlformats.org/officeDocument/2006/relationships/hyperlink" Target="http://curia.europa.eu/juris/showPdf.jsf;jsessionid=9ea7d0f130d58ca3ced35c9e42e39909d29b32006377.e34KaxiLc3eQc40LaxqMbN4OchiOe0?text=&amp;docid=95470&amp;pageIndex=0&amp;doclang=EN&amp;mode=lst&amp;dir=&amp;occ=first&amp;part=1&amp;cid=105970" TargetMode="External"/><Relationship Id="rId15" Type="http://schemas.openxmlformats.org/officeDocument/2006/relationships/hyperlink" Target="http://curia.europa.eu/juris/liste.jsf?language=en&amp;num=T-301/04" TargetMode="External"/><Relationship Id="rId23" Type="http://schemas.openxmlformats.org/officeDocument/2006/relationships/hyperlink" Target="http://curia.europa.eu/juris/liste.jsf?language=en&amp;jur=C,T,F&amp;num=T-30/89&amp;td=ALL" TargetMode="External"/><Relationship Id="rId28" Type="http://schemas.openxmlformats.org/officeDocument/2006/relationships/hyperlink" Target="http://eur-lex.europa.eu/legal-content/EN/TXT/?uri=CELEX%3A61997TJ0005" TargetMode="External"/><Relationship Id="rId36" Type="http://schemas.openxmlformats.org/officeDocument/2006/relationships/hyperlink" Target="http://eur-lex.europa.eu/legal-content/EN/TXT/?qid=1497482010903&amp;uri=CELEX:61986CC0062" TargetMode="External"/><Relationship Id="rId49" Type="http://schemas.openxmlformats.org/officeDocument/2006/relationships/hyperlink" Target="http://curia.europa.eu/juris/liste.jsf?language=en&amp;num=T-155/06" TargetMode="External"/><Relationship Id="rId57" Type="http://schemas.openxmlformats.org/officeDocument/2006/relationships/hyperlink" Target="http://curia.europa.eu/juris/liste.jsf?language=en&amp;num=C-238/05" TargetMode="External"/><Relationship Id="rId10" Type="http://schemas.openxmlformats.org/officeDocument/2006/relationships/hyperlink" Target="http://curia.europa.eu/juris/showPdf.jsf?docid=102685&amp;doclang=en" TargetMode="External"/><Relationship Id="rId31" Type="http://schemas.openxmlformats.org/officeDocument/2006/relationships/hyperlink" Target="http://curia.europa.eu/juris/liste.jsf?&amp;num=C-267/91" TargetMode="External"/><Relationship Id="rId44" Type="http://schemas.openxmlformats.org/officeDocument/2006/relationships/hyperlink" Target="http://curia.europa.eu/juris/liste.jsf?num=T-336/07" TargetMode="External"/><Relationship Id="rId52" Type="http://schemas.openxmlformats.org/officeDocument/2006/relationships/hyperlink" Target="http://curia.europa.eu/juris/liste.jsf?language=en&amp;num=C-395/87" TargetMode="External"/><Relationship Id="rId60" Type="http://schemas.openxmlformats.org/officeDocument/2006/relationships/hyperlink" Target="http://eur-lex.europa.eu/legal-content/EN/TXT/?uri=CELEX%3A61984CJ0042" TargetMode="External"/><Relationship Id="rId65" Type="http://schemas.openxmlformats.org/officeDocument/2006/relationships/hyperlink" Target="http://ec.europa.eu/competition/mergers/cases/decisions/m337_en.pdf" TargetMode="External"/><Relationship Id="rId73" Type="http://schemas.openxmlformats.org/officeDocument/2006/relationships/hyperlink" Target="http://eur-lex.europa.eu/legal-content/EN/TXT/?uri=CELEX%3A32006M4057" TargetMode="External"/><Relationship Id="rId78" Type="http://schemas.openxmlformats.org/officeDocument/2006/relationships/hyperlink" Target="http://eur-lex.europa.eu/legal-content/EN/TXT/?uri=celex:31997Y1209(01)" TargetMode="External"/><Relationship Id="rId81" Type="http://schemas.openxmlformats.org/officeDocument/2006/relationships/hyperlink" Target="http://eur-lex.europa.eu/legal-content/EN/ALL/?uri=URISERV:l26114"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1719</Words>
  <Characters>24181</Characters>
  <Application>Microsoft Office Word</Application>
  <DocSecurity>0</DocSecurity>
  <Lines>201</Lines>
  <Paragraphs>51</Paragraphs>
  <ScaleCrop>false</ScaleCrop>
  <HeadingPairs>
    <vt:vector size="6" baseType="variant">
      <vt:variant>
        <vt:lpstr>Τίτλος</vt:lpstr>
      </vt:variant>
      <vt:variant>
        <vt:i4>1</vt:i4>
      </vt:variant>
      <vt:variant>
        <vt:lpstr>Title</vt:lpstr>
      </vt:variant>
      <vt:variant>
        <vt:i4>1</vt:i4>
      </vt:variant>
      <vt:variant>
        <vt:lpstr>Titolo</vt:lpstr>
      </vt:variant>
      <vt:variant>
        <vt:i4>1</vt:i4>
      </vt:variant>
    </vt:vector>
  </HeadingPairs>
  <TitlesOfParts>
    <vt:vector size="3" baseType="lpstr">
      <vt:lpstr>Course title</vt:lpstr>
      <vt:lpstr>Course title</vt:lpstr>
      <vt:lpstr>Course title</vt:lpstr>
    </vt:vector>
  </TitlesOfParts>
  <Company>European University Cyprus</Company>
  <LinksUpToDate>false</LinksUpToDate>
  <CharactersWithSpaces>25849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S. P. Nath</dc:creator>
  <cp:lastModifiedBy>Edoardo Minerva</cp:lastModifiedBy>
  <cp:revision>16</cp:revision>
  <cp:lastPrinted>2015-02-18T11:13:00Z</cp:lastPrinted>
  <dcterms:created xsi:type="dcterms:W3CDTF">2016-06-27T14:55:00Z</dcterms:created>
  <dcterms:modified xsi:type="dcterms:W3CDTF">2017-10-10T06:11:00Z</dcterms:modified>
</cp:coreProperties>
</file>