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7A" w:rsidRPr="005B23F7" w:rsidRDefault="00EF217A" w:rsidP="0055297E">
      <w:pPr>
        <w:spacing w:after="0" w:line="240" w:lineRule="auto"/>
        <w:jc w:val="center"/>
        <w:rPr>
          <w:rFonts w:ascii="Arial" w:hAnsi="Arial" w:cs="Arial"/>
          <w:b/>
          <w:sz w:val="24"/>
          <w:szCs w:val="24"/>
        </w:rPr>
      </w:pPr>
      <w:r w:rsidRPr="005B23F7">
        <w:rPr>
          <w:rFonts w:ascii="Arial" w:hAnsi="Arial" w:cs="Arial"/>
          <w:b/>
          <w:sz w:val="24"/>
          <w:szCs w:val="24"/>
        </w:rPr>
        <w:t>ΛΑΖΑΡΟΣ Γ. ΓΡΗΓΟΡΙΑΔΗΣ</w:t>
      </w:r>
    </w:p>
    <w:p w:rsidR="00EF217A" w:rsidRPr="005B23F7" w:rsidRDefault="00EF217A" w:rsidP="0055297E">
      <w:pPr>
        <w:spacing w:after="0" w:line="240" w:lineRule="auto"/>
        <w:jc w:val="center"/>
        <w:rPr>
          <w:rFonts w:ascii="Arial" w:hAnsi="Arial" w:cs="Arial"/>
          <w:b/>
          <w:sz w:val="24"/>
          <w:szCs w:val="24"/>
        </w:rPr>
      </w:pPr>
      <w:r w:rsidRPr="005B23F7">
        <w:rPr>
          <w:rFonts w:ascii="Arial" w:hAnsi="Arial" w:cs="Arial"/>
          <w:b/>
          <w:sz w:val="24"/>
          <w:szCs w:val="24"/>
        </w:rPr>
        <w:t>ΔΝ, ΛΕΚΤΟΡΑΣ ΝΟΜΙΚΗΣ ΠΑΝΕΠΙΣΤΗΜΙΟΥ ΝΕΑΠΟΛΙΣ ΠΑΦΟΥ</w:t>
      </w:r>
    </w:p>
    <w:p w:rsidR="00362289" w:rsidRPr="005B23F7" w:rsidRDefault="006A19D0" w:rsidP="0055297E">
      <w:pPr>
        <w:spacing w:line="240" w:lineRule="auto"/>
        <w:rPr>
          <w:rFonts w:ascii="Arial" w:hAnsi="Arial" w:cs="Arial"/>
          <w:sz w:val="24"/>
          <w:szCs w:val="24"/>
        </w:rPr>
      </w:pPr>
    </w:p>
    <w:p w:rsidR="00EF217A" w:rsidRPr="005B23F7" w:rsidRDefault="00EF217A" w:rsidP="0055297E">
      <w:pPr>
        <w:spacing w:after="0" w:line="240" w:lineRule="auto"/>
        <w:jc w:val="center"/>
        <w:rPr>
          <w:rFonts w:ascii="Arial" w:hAnsi="Arial" w:cs="Arial"/>
          <w:i/>
          <w:sz w:val="24"/>
          <w:szCs w:val="24"/>
        </w:rPr>
      </w:pPr>
      <w:r w:rsidRPr="005B23F7">
        <w:rPr>
          <w:rFonts w:ascii="Arial" w:hAnsi="Arial" w:cs="Arial"/>
          <w:i/>
          <w:sz w:val="24"/>
          <w:szCs w:val="24"/>
        </w:rPr>
        <w:t>«Νομική αξιολόγηση των παραβάσεων των κανόνων του ελεύθερου ανταγωνισμού υπό το φως της οικονομικής ανάλυσης»</w:t>
      </w:r>
    </w:p>
    <w:p w:rsidR="00EF217A" w:rsidRPr="005B23F7" w:rsidRDefault="00EF217A" w:rsidP="0055297E">
      <w:pPr>
        <w:spacing w:after="0" w:line="240" w:lineRule="auto"/>
        <w:jc w:val="center"/>
        <w:rPr>
          <w:rFonts w:ascii="Arial" w:hAnsi="Arial" w:cs="Arial"/>
          <w:b/>
          <w:sz w:val="24"/>
          <w:szCs w:val="24"/>
        </w:rPr>
      </w:pPr>
    </w:p>
    <w:p w:rsidR="00EF217A" w:rsidRPr="005B23F7" w:rsidRDefault="00EF217A" w:rsidP="0055297E">
      <w:pPr>
        <w:spacing w:after="0" w:line="240" w:lineRule="auto"/>
        <w:jc w:val="center"/>
        <w:rPr>
          <w:rFonts w:ascii="Arial" w:hAnsi="Arial" w:cs="Arial"/>
          <w:b/>
          <w:sz w:val="24"/>
          <w:szCs w:val="24"/>
        </w:rPr>
      </w:pPr>
    </w:p>
    <w:p w:rsidR="00EF217A" w:rsidRPr="005B23F7" w:rsidRDefault="00EF217A" w:rsidP="0055297E">
      <w:pPr>
        <w:spacing w:after="0" w:line="240" w:lineRule="auto"/>
        <w:jc w:val="center"/>
        <w:rPr>
          <w:rFonts w:ascii="Arial" w:hAnsi="Arial" w:cs="Arial"/>
          <w:b/>
          <w:sz w:val="24"/>
          <w:szCs w:val="24"/>
        </w:rPr>
      </w:pPr>
      <w:r w:rsidRPr="005B23F7">
        <w:rPr>
          <w:rFonts w:ascii="Arial" w:hAnsi="Arial" w:cs="Arial"/>
          <w:b/>
          <w:sz w:val="24"/>
          <w:szCs w:val="24"/>
          <w:lang w:val="en-US"/>
        </w:rPr>
        <w:t>I</w:t>
      </w:r>
      <w:r w:rsidRPr="005B23F7">
        <w:rPr>
          <w:rFonts w:ascii="Arial" w:hAnsi="Arial" w:cs="Arial"/>
          <w:b/>
          <w:sz w:val="24"/>
          <w:szCs w:val="24"/>
        </w:rPr>
        <w:t>. ΕΙΣΑΓΩΓΙΚΑ</w:t>
      </w:r>
    </w:p>
    <w:p w:rsidR="00EF217A" w:rsidRPr="005B23F7" w:rsidRDefault="00EF217A" w:rsidP="0055297E">
      <w:pPr>
        <w:spacing w:line="240" w:lineRule="auto"/>
        <w:jc w:val="both"/>
        <w:rPr>
          <w:rFonts w:ascii="Arial" w:hAnsi="Arial" w:cs="Arial"/>
          <w:b/>
          <w:sz w:val="24"/>
          <w:szCs w:val="24"/>
        </w:rPr>
      </w:pPr>
    </w:p>
    <w:p w:rsidR="00EF217A" w:rsidRPr="005B23F7" w:rsidRDefault="00EF217A" w:rsidP="0055297E">
      <w:pPr>
        <w:spacing w:line="240" w:lineRule="auto"/>
        <w:jc w:val="both"/>
        <w:rPr>
          <w:rFonts w:ascii="Arial" w:hAnsi="Arial" w:cs="Arial"/>
          <w:sz w:val="24"/>
          <w:szCs w:val="24"/>
        </w:rPr>
      </w:pPr>
      <w:r w:rsidRPr="005B23F7">
        <w:rPr>
          <w:rFonts w:ascii="Arial" w:hAnsi="Arial" w:cs="Arial"/>
          <w:b/>
          <w:sz w:val="24"/>
          <w:szCs w:val="24"/>
        </w:rPr>
        <w:t>Αντικείμενο της παρούσας εισήγησης:</w:t>
      </w:r>
      <w:r w:rsidRPr="005B23F7">
        <w:rPr>
          <w:rFonts w:ascii="Arial" w:hAnsi="Arial" w:cs="Arial"/>
          <w:sz w:val="24"/>
          <w:szCs w:val="24"/>
        </w:rPr>
        <w:t xml:space="preserve"> Χρήση της οικονομικής ανάλυσης σε αποφάσεις που εκδόθηκαν από τα ενωσιακά όργανα κατ’ εφαρμογή του άρθρου 101 ΣΛΕΕ περί απαγόρευσης των συμπράξεων, του άρθρου 102 ΣΛΕΕ περί απαγόρευσης της κατάχρησης δεσπόζουσας θέσης και του Κανονισμού 139/2004 για τον έλεγχο συγκεντρώσεων επιχειρήσεων.</w:t>
      </w:r>
    </w:p>
    <w:p w:rsidR="00EF217A" w:rsidRPr="005B23F7" w:rsidRDefault="00EF217A" w:rsidP="0055297E">
      <w:pPr>
        <w:spacing w:after="0" w:line="240" w:lineRule="auto"/>
        <w:jc w:val="both"/>
        <w:rPr>
          <w:rFonts w:ascii="Arial" w:hAnsi="Arial" w:cs="Arial"/>
          <w:b/>
          <w:sz w:val="24"/>
          <w:szCs w:val="24"/>
        </w:rPr>
      </w:pPr>
    </w:p>
    <w:p w:rsidR="00EF217A" w:rsidRPr="005B23F7" w:rsidRDefault="00EF217A" w:rsidP="0055297E">
      <w:pPr>
        <w:spacing w:line="240" w:lineRule="auto"/>
        <w:rPr>
          <w:rFonts w:ascii="Arial" w:hAnsi="Arial" w:cs="Arial"/>
          <w:sz w:val="24"/>
          <w:szCs w:val="24"/>
        </w:rPr>
      </w:pPr>
      <w:r w:rsidRPr="005B23F7">
        <w:rPr>
          <w:rFonts w:ascii="Arial" w:hAnsi="Arial" w:cs="Arial"/>
          <w:sz w:val="24"/>
          <w:szCs w:val="24"/>
        </w:rPr>
        <w:br w:type="page"/>
      </w:r>
    </w:p>
    <w:p w:rsidR="00EF217A" w:rsidRPr="005B23F7" w:rsidRDefault="00EF217A" w:rsidP="0055297E">
      <w:pPr>
        <w:spacing w:after="0" w:line="240" w:lineRule="auto"/>
        <w:jc w:val="both"/>
        <w:rPr>
          <w:rFonts w:ascii="Arial" w:hAnsi="Arial" w:cs="Arial"/>
          <w:b/>
          <w:sz w:val="24"/>
          <w:szCs w:val="24"/>
        </w:rPr>
      </w:pPr>
      <w:r w:rsidRPr="005B23F7">
        <w:rPr>
          <w:rFonts w:ascii="Arial" w:hAnsi="Arial" w:cs="Arial"/>
          <w:b/>
          <w:sz w:val="24"/>
          <w:szCs w:val="24"/>
          <w:lang w:val="en-US"/>
        </w:rPr>
        <w:lastRenderedPageBreak/>
        <w:t>II</w:t>
      </w:r>
      <w:r w:rsidRPr="005B23F7">
        <w:rPr>
          <w:rFonts w:ascii="Arial" w:hAnsi="Arial" w:cs="Arial"/>
          <w:b/>
          <w:sz w:val="24"/>
          <w:szCs w:val="24"/>
        </w:rPr>
        <w:t>. ΕΦΑΡΜΟΓΗ ΤΩΝ ΑΡΧΩΝ ΤΗΣ ΟΙΚΟΝΟΜΙΚΗΣ ΑΝΑΛΥΣΗΣ ΚΑΤΑ ΤΗΝ ΕΦΑΡΜΟΓΗ ΤΟΥ ΑΡΘΡΟΥ 101 ΣΛΕΕ</w:t>
      </w:r>
    </w:p>
    <w:p w:rsidR="00EF217A" w:rsidRPr="005B23F7" w:rsidRDefault="00EF217A" w:rsidP="0055297E">
      <w:pPr>
        <w:spacing w:after="0" w:line="240" w:lineRule="auto"/>
        <w:jc w:val="both"/>
        <w:rPr>
          <w:rFonts w:ascii="Arial" w:hAnsi="Arial" w:cs="Arial"/>
          <w:sz w:val="24"/>
          <w:szCs w:val="24"/>
        </w:rPr>
      </w:pPr>
    </w:p>
    <w:p w:rsidR="00EF217A" w:rsidRPr="005B23F7" w:rsidRDefault="00EF217A" w:rsidP="0055297E">
      <w:pPr>
        <w:spacing w:after="0" w:line="240" w:lineRule="auto"/>
        <w:jc w:val="both"/>
        <w:rPr>
          <w:rFonts w:ascii="Arial" w:hAnsi="Arial" w:cs="Arial"/>
          <w:b/>
          <w:sz w:val="24"/>
          <w:szCs w:val="24"/>
        </w:rPr>
      </w:pPr>
      <w:r w:rsidRPr="005B23F7">
        <w:rPr>
          <w:rFonts w:ascii="Arial" w:hAnsi="Arial" w:cs="Arial"/>
          <w:b/>
          <w:sz w:val="24"/>
          <w:szCs w:val="24"/>
        </w:rPr>
        <w:t>1.</w:t>
      </w:r>
      <w:r w:rsidRPr="005B23F7">
        <w:rPr>
          <w:rFonts w:ascii="Arial" w:hAnsi="Arial" w:cs="Arial"/>
          <w:sz w:val="24"/>
          <w:szCs w:val="24"/>
        </w:rPr>
        <w:t xml:space="preserve"> </w:t>
      </w:r>
      <w:r w:rsidRPr="005B23F7">
        <w:rPr>
          <w:rFonts w:ascii="Arial" w:hAnsi="Arial" w:cs="Arial"/>
          <w:b/>
          <w:sz w:val="24"/>
          <w:szCs w:val="24"/>
        </w:rPr>
        <w:t>Εφαρμογή των αρχών της οικονομικής ανάλυσης κατά την εφαρμογή του άρθρου 101 παρ. 1 ΣΛΕΕ</w:t>
      </w:r>
    </w:p>
    <w:p w:rsidR="00EF217A" w:rsidRPr="005B23F7" w:rsidRDefault="00EF217A" w:rsidP="0055297E">
      <w:pPr>
        <w:spacing w:after="0" w:line="240" w:lineRule="auto"/>
        <w:jc w:val="both"/>
        <w:rPr>
          <w:rFonts w:ascii="Arial" w:hAnsi="Arial" w:cs="Arial"/>
          <w:sz w:val="24"/>
          <w:szCs w:val="24"/>
        </w:rPr>
      </w:pPr>
    </w:p>
    <w:p w:rsidR="00EF217A" w:rsidRPr="005B23F7" w:rsidRDefault="00EF217A" w:rsidP="0055297E">
      <w:pPr>
        <w:spacing w:after="0" w:line="240" w:lineRule="auto"/>
        <w:ind w:firstLine="720"/>
        <w:jc w:val="both"/>
        <w:rPr>
          <w:rFonts w:ascii="Arial" w:hAnsi="Arial" w:cs="Arial"/>
          <w:sz w:val="24"/>
          <w:szCs w:val="24"/>
        </w:rPr>
      </w:pPr>
    </w:p>
    <w:p w:rsidR="00EF217A" w:rsidRPr="005B23F7" w:rsidRDefault="00EF217A" w:rsidP="0055297E">
      <w:pPr>
        <w:pStyle w:val="a3"/>
        <w:numPr>
          <w:ilvl w:val="0"/>
          <w:numId w:val="2"/>
        </w:numPr>
        <w:spacing w:line="240" w:lineRule="auto"/>
        <w:jc w:val="both"/>
        <w:rPr>
          <w:rFonts w:ascii="Arial" w:hAnsi="Arial" w:cs="Arial"/>
          <w:b/>
          <w:sz w:val="24"/>
          <w:szCs w:val="24"/>
        </w:rPr>
      </w:pPr>
      <w:r w:rsidRPr="005B23F7">
        <w:rPr>
          <w:rFonts w:ascii="Arial" w:hAnsi="Arial" w:cs="Arial"/>
          <w:sz w:val="24"/>
          <w:szCs w:val="24"/>
        </w:rPr>
        <w:t>Άρθρο 101 παρ. 1 ΣΛΕΕ:</w:t>
      </w:r>
      <w:r w:rsidRPr="005B23F7">
        <w:rPr>
          <w:rFonts w:ascii="Arial" w:hAnsi="Arial" w:cs="Arial"/>
          <w:b/>
          <w:sz w:val="24"/>
          <w:szCs w:val="24"/>
        </w:rPr>
        <w:t xml:space="preserve"> </w:t>
      </w:r>
      <w:r w:rsidRPr="005B23F7">
        <w:rPr>
          <w:rFonts w:ascii="Arial" w:hAnsi="Arial" w:cs="Arial"/>
          <w:sz w:val="24"/>
          <w:szCs w:val="24"/>
        </w:rPr>
        <w:t>«Είναι ασυμβίβαστες με την εσωτερική αγορά και απαγορεύονται όλες οι συμφωνίες μεταξύ επιχειρήσεων, όλες οι αποφάσεις ενώσεων επιχειρήσεων και κάθε εναρμονισμένη πρακτική, που δύνανται να επηρεάσουν το εμπόριο μεταξύ κρατών μελών και που έχουν ως αντικείμενο ή ως αποτέλεσμα την παρεμπόδιση, τον περιορισμό ή τη νόθευση του ανταγωνισμού εντός της κοινής αγοράς.»</w:t>
      </w:r>
    </w:p>
    <w:p w:rsidR="00EF217A" w:rsidRPr="005B23F7" w:rsidRDefault="00EF217A" w:rsidP="0055297E">
      <w:pPr>
        <w:pStyle w:val="a3"/>
        <w:spacing w:line="240" w:lineRule="auto"/>
        <w:jc w:val="both"/>
        <w:rPr>
          <w:rFonts w:ascii="Arial" w:hAnsi="Arial" w:cs="Arial"/>
          <w:b/>
          <w:sz w:val="24"/>
          <w:szCs w:val="24"/>
        </w:rPr>
      </w:pPr>
      <w:r w:rsidRPr="005B23F7">
        <w:rPr>
          <w:rFonts w:ascii="Arial" w:hAnsi="Arial" w:cs="Arial"/>
          <w:b/>
          <w:sz w:val="24"/>
          <w:szCs w:val="24"/>
        </w:rPr>
        <w:t xml:space="preserve"> </w:t>
      </w:r>
    </w:p>
    <w:p w:rsidR="00EF217A" w:rsidRPr="005B23F7" w:rsidRDefault="00EF217A" w:rsidP="0055297E">
      <w:pPr>
        <w:pStyle w:val="a3"/>
        <w:numPr>
          <w:ilvl w:val="0"/>
          <w:numId w:val="2"/>
        </w:numPr>
        <w:spacing w:line="240" w:lineRule="auto"/>
        <w:jc w:val="both"/>
        <w:rPr>
          <w:rFonts w:ascii="Arial" w:hAnsi="Arial" w:cs="Arial"/>
          <w:sz w:val="24"/>
          <w:szCs w:val="24"/>
        </w:rPr>
      </w:pPr>
      <w:r w:rsidRPr="005B23F7">
        <w:rPr>
          <w:rFonts w:ascii="Arial" w:hAnsi="Arial" w:cs="Arial"/>
          <w:sz w:val="24"/>
          <w:szCs w:val="24"/>
        </w:rPr>
        <w:t>Πού εντοπίζεται η σημασία της οικονομικής ανάλυσης κατά την εφαρμογή του άρθρου 101 παρ. 1 ΣΛΕΕ;</w:t>
      </w:r>
      <w:r w:rsidRPr="005B23F7">
        <w:rPr>
          <w:rFonts w:ascii="Arial" w:hAnsi="Arial" w:cs="Arial"/>
          <w:b/>
          <w:sz w:val="24"/>
          <w:szCs w:val="24"/>
        </w:rPr>
        <w:t xml:space="preserve"> </w:t>
      </w:r>
      <w:r w:rsidRPr="00F04B27">
        <w:rPr>
          <w:rFonts w:ascii="Arial" w:hAnsi="Arial" w:cs="Arial"/>
          <w:b/>
          <w:sz w:val="24"/>
          <w:szCs w:val="24"/>
          <w:u w:val="single"/>
        </w:rPr>
        <w:t>Στη θεμελίωση της διαπίστωσης ότι μια σύμπραξη παρακωλύει, περιορίζει ή νοθεύει τον ανταγωνισμό εκ του αντικειμένου της ή εκ του αποτελέσματος.</w:t>
      </w:r>
    </w:p>
    <w:p w:rsidR="00EF217A" w:rsidRPr="005B23F7" w:rsidRDefault="00EF217A" w:rsidP="0055297E">
      <w:pPr>
        <w:pStyle w:val="a3"/>
        <w:spacing w:line="240" w:lineRule="auto"/>
        <w:jc w:val="both"/>
        <w:rPr>
          <w:rFonts w:ascii="Arial" w:hAnsi="Arial" w:cs="Arial"/>
          <w:sz w:val="24"/>
          <w:szCs w:val="24"/>
        </w:rPr>
      </w:pPr>
    </w:p>
    <w:p w:rsidR="00EF217A" w:rsidRPr="005B23F7" w:rsidRDefault="00EF217A" w:rsidP="0055297E">
      <w:pPr>
        <w:pStyle w:val="a3"/>
        <w:numPr>
          <w:ilvl w:val="0"/>
          <w:numId w:val="2"/>
        </w:numPr>
        <w:spacing w:line="240" w:lineRule="auto"/>
        <w:jc w:val="both"/>
        <w:rPr>
          <w:rFonts w:ascii="Arial" w:hAnsi="Arial" w:cs="Arial"/>
          <w:sz w:val="24"/>
          <w:szCs w:val="24"/>
        </w:rPr>
      </w:pPr>
      <w:r w:rsidRPr="005B23F7">
        <w:rPr>
          <w:rFonts w:ascii="Arial" w:hAnsi="Arial" w:cs="Arial"/>
          <w:b/>
          <w:sz w:val="24"/>
          <w:szCs w:val="24"/>
        </w:rPr>
        <w:t>Χρήση της οικονομικής ανάλυσης για τη θεμελίωση της διαπίστωσης ότι μια σύμπραξη νοθεύει ή παρακωλύει ή περιορίζει τον ανταγωνισμό εξ αντικειμένου</w:t>
      </w:r>
    </w:p>
    <w:p w:rsidR="00EF217A" w:rsidRPr="005B23F7" w:rsidRDefault="00EF217A" w:rsidP="0055297E">
      <w:pPr>
        <w:pStyle w:val="a3"/>
        <w:spacing w:line="240" w:lineRule="auto"/>
        <w:rPr>
          <w:rFonts w:ascii="Arial" w:hAnsi="Arial" w:cs="Arial"/>
          <w:sz w:val="24"/>
          <w:szCs w:val="24"/>
        </w:rPr>
      </w:pPr>
    </w:p>
    <w:p w:rsidR="00EF217A" w:rsidRPr="005B23F7" w:rsidRDefault="00EF217A" w:rsidP="0055297E">
      <w:pPr>
        <w:pStyle w:val="a3"/>
        <w:numPr>
          <w:ilvl w:val="1"/>
          <w:numId w:val="2"/>
        </w:numPr>
        <w:spacing w:line="240" w:lineRule="auto"/>
        <w:jc w:val="both"/>
        <w:rPr>
          <w:rFonts w:ascii="Arial" w:hAnsi="Arial" w:cs="Arial"/>
          <w:sz w:val="24"/>
          <w:szCs w:val="24"/>
        </w:rPr>
      </w:pPr>
      <w:r w:rsidRPr="005B23F7">
        <w:rPr>
          <w:rFonts w:ascii="Arial" w:hAnsi="Arial" w:cs="Arial"/>
          <w:bCs/>
          <w:sz w:val="24"/>
          <w:szCs w:val="24"/>
        </w:rPr>
        <w:t xml:space="preserve">Η σύμπραξη έχει ως αντικείμενο </w:t>
      </w:r>
      <w:r w:rsidRPr="005B23F7">
        <w:rPr>
          <w:rFonts w:ascii="Arial" w:hAnsi="Arial" w:cs="Arial"/>
          <w:sz w:val="24"/>
          <w:szCs w:val="24"/>
        </w:rPr>
        <w:t xml:space="preserve">την παρακώλυση ή τον περιορισμό ή τη νόθευση του ανταγωνισμού, όταν τα μέρη </w:t>
      </w:r>
      <w:r w:rsidRPr="005B23F7">
        <w:rPr>
          <w:rFonts w:ascii="Arial" w:hAnsi="Arial" w:cs="Arial"/>
          <w:bCs/>
          <w:sz w:val="24"/>
          <w:szCs w:val="24"/>
        </w:rPr>
        <w:t xml:space="preserve">επιδιώκουν </w:t>
      </w:r>
      <w:r w:rsidRPr="005B23F7">
        <w:rPr>
          <w:rFonts w:ascii="Arial" w:hAnsi="Arial" w:cs="Arial"/>
          <w:sz w:val="24"/>
          <w:szCs w:val="24"/>
        </w:rPr>
        <w:t xml:space="preserve">ένα από τα τρία αυτά αποτελέσματα (την παρακώλυση ή τον περιορισμό ή τη νόθευση του ανταγωνισμού), </w:t>
      </w:r>
      <w:r w:rsidRPr="005B23F7">
        <w:rPr>
          <w:rFonts w:ascii="Arial" w:hAnsi="Arial" w:cs="Arial"/>
          <w:bCs/>
          <w:sz w:val="24"/>
          <w:szCs w:val="24"/>
        </w:rPr>
        <w:t>χωρίς να απαιτείται η είσοδος του αποτελέσματος</w:t>
      </w:r>
      <w:r w:rsidRPr="005B23F7">
        <w:rPr>
          <w:rFonts w:ascii="Arial" w:hAnsi="Arial" w:cs="Arial"/>
          <w:sz w:val="24"/>
          <w:szCs w:val="24"/>
        </w:rPr>
        <w:t>.</w:t>
      </w:r>
    </w:p>
    <w:p w:rsidR="00EF217A" w:rsidRPr="005B23F7" w:rsidRDefault="00EF217A" w:rsidP="0055297E">
      <w:pPr>
        <w:pStyle w:val="a3"/>
        <w:numPr>
          <w:ilvl w:val="1"/>
          <w:numId w:val="2"/>
        </w:numPr>
        <w:spacing w:line="240" w:lineRule="auto"/>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Remia</w:t>
      </w:r>
      <w:proofErr w:type="spellEnd"/>
      <w:r w:rsidRPr="005B23F7">
        <w:rPr>
          <w:rFonts w:ascii="Arial" w:hAnsi="Arial" w:cs="Arial"/>
          <w:sz w:val="24"/>
          <w:szCs w:val="24"/>
        </w:rPr>
        <w:t>: Ρήτρες απαγόρευσης του ανταγωνισμού σε συμβάσεις μεταβίβασης επιχειρήσεων ενδέχεται να συντελούν στην ενίσχυση του ανταγωνισμού μέσω της αύξησης του αριθμού των υφιστάμενων στην αγορά επιχειρήσεων.</w:t>
      </w:r>
    </w:p>
    <w:p w:rsidR="00EF217A" w:rsidRPr="005B23F7" w:rsidRDefault="00EF217A" w:rsidP="0055297E">
      <w:pPr>
        <w:pStyle w:val="a3"/>
        <w:numPr>
          <w:ilvl w:val="1"/>
          <w:numId w:val="2"/>
        </w:numPr>
        <w:spacing w:line="240" w:lineRule="auto"/>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Pierre</w:t>
      </w:r>
      <w:r w:rsidRPr="005B23F7">
        <w:rPr>
          <w:rFonts w:ascii="Arial" w:hAnsi="Arial" w:cs="Arial"/>
          <w:i/>
          <w:sz w:val="24"/>
          <w:szCs w:val="24"/>
        </w:rPr>
        <w:t xml:space="preserve"> </w:t>
      </w:r>
      <w:r w:rsidRPr="005B23F7">
        <w:rPr>
          <w:rFonts w:ascii="Arial" w:hAnsi="Arial" w:cs="Arial"/>
          <w:i/>
          <w:sz w:val="24"/>
          <w:szCs w:val="24"/>
          <w:lang w:val="en-US"/>
        </w:rPr>
        <w:t>Fabre</w:t>
      </w:r>
      <w:r w:rsidRPr="005B23F7">
        <w:rPr>
          <w:rFonts w:ascii="Arial" w:hAnsi="Arial" w:cs="Arial"/>
          <w:sz w:val="24"/>
          <w:szCs w:val="24"/>
        </w:rPr>
        <w:t>: Τα συστήματα επιλεκτικής διανομής επιδιώκουν νόμιμο αποτέλεσμα, το οποίο συμβάλλει στην ανάπτυξη του ανταγωνισμού που δεν έχει ως αντικείμενο μόνο τις τιμές, και για το λόγο αυτό δεν απαγορεύονται καταρχήν από το άρθρο 101 παρ. 1 ΣΛΕΕ.</w:t>
      </w:r>
    </w:p>
    <w:p w:rsidR="00EF217A" w:rsidRPr="005B23F7" w:rsidRDefault="00EF217A" w:rsidP="0055297E">
      <w:pPr>
        <w:pStyle w:val="a3"/>
        <w:numPr>
          <w:ilvl w:val="1"/>
          <w:numId w:val="2"/>
        </w:numPr>
        <w:spacing w:line="240" w:lineRule="auto"/>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Coditel</w:t>
      </w:r>
      <w:proofErr w:type="spellEnd"/>
      <w:r w:rsidRPr="005B23F7">
        <w:rPr>
          <w:rFonts w:ascii="Arial" w:hAnsi="Arial" w:cs="Arial"/>
          <w:i/>
          <w:sz w:val="24"/>
          <w:szCs w:val="24"/>
        </w:rPr>
        <w:t xml:space="preserve"> </w:t>
      </w:r>
      <w:r w:rsidRPr="005B23F7">
        <w:rPr>
          <w:rFonts w:ascii="Arial" w:hAnsi="Arial" w:cs="Arial"/>
          <w:i/>
          <w:sz w:val="24"/>
          <w:szCs w:val="24"/>
          <w:lang w:val="en-US"/>
        </w:rPr>
        <w:t>II</w:t>
      </w:r>
      <w:r w:rsidRPr="005B23F7">
        <w:rPr>
          <w:rFonts w:ascii="Arial" w:hAnsi="Arial" w:cs="Arial"/>
          <w:sz w:val="24"/>
          <w:szCs w:val="24"/>
        </w:rPr>
        <w:t>: Η παραχώρηση απόλυτης εδαφικής προστασίας στον κάτοχο άδεια χρήσης δικαιώματος πνευματικής ιδιοκτησίας μπορεί να δικαιολογείται από την ιδιαιτερότητα του εν λόγω δικαιώματος.</w:t>
      </w:r>
    </w:p>
    <w:p w:rsidR="00EF217A" w:rsidRPr="005B23F7" w:rsidRDefault="00EF217A" w:rsidP="0055297E">
      <w:pPr>
        <w:pStyle w:val="a3"/>
        <w:numPr>
          <w:ilvl w:val="1"/>
          <w:numId w:val="2"/>
        </w:numPr>
        <w:spacing w:line="240" w:lineRule="auto"/>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rPr>
        <w:t>Asnef</w:t>
      </w:r>
      <w:proofErr w:type="spellEnd"/>
      <w:r w:rsidRPr="005B23F7">
        <w:rPr>
          <w:rFonts w:ascii="Arial" w:hAnsi="Arial" w:cs="Arial"/>
          <w:i/>
          <w:sz w:val="24"/>
          <w:szCs w:val="24"/>
        </w:rPr>
        <w:t>-</w:t>
      </w:r>
      <w:proofErr w:type="spellStart"/>
      <w:r w:rsidRPr="005B23F7">
        <w:rPr>
          <w:rFonts w:ascii="Arial" w:hAnsi="Arial" w:cs="Arial"/>
          <w:i/>
          <w:sz w:val="24"/>
          <w:szCs w:val="24"/>
        </w:rPr>
        <w:t>Equifax</w:t>
      </w:r>
      <w:proofErr w:type="spellEnd"/>
      <w:r w:rsidRPr="005B23F7">
        <w:rPr>
          <w:rFonts w:ascii="Arial" w:hAnsi="Arial" w:cs="Arial"/>
          <w:sz w:val="24"/>
          <w:szCs w:val="24"/>
        </w:rPr>
        <w:t xml:space="preserve">: Οι ανταλλαγές πληροφοριών μεταξύ επιχειρήσεων ενδέχεται να προάγουν τις συνθήκες του ανταγωνισμού σε μια συγκεκριμένη αγορά και να </w:t>
      </w:r>
      <w:proofErr w:type="spellStart"/>
      <w:r w:rsidRPr="005B23F7">
        <w:rPr>
          <w:rFonts w:ascii="Arial" w:hAnsi="Arial" w:cs="Arial"/>
          <w:sz w:val="24"/>
          <w:szCs w:val="24"/>
        </w:rPr>
        <w:t>εκφεύγουν</w:t>
      </w:r>
      <w:proofErr w:type="spellEnd"/>
      <w:r w:rsidRPr="005B23F7">
        <w:rPr>
          <w:rFonts w:ascii="Arial" w:hAnsi="Arial" w:cs="Arial"/>
          <w:sz w:val="24"/>
          <w:szCs w:val="24"/>
        </w:rPr>
        <w:t xml:space="preserve"> του πεδίου εφαρμογής του άρθρου 101 παρ. 1 ΣΛΕΕ.</w:t>
      </w:r>
    </w:p>
    <w:p w:rsidR="00333F5B" w:rsidRPr="005B23F7" w:rsidRDefault="00EF217A" w:rsidP="0055297E">
      <w:pPr>
        <w:pStyle w:val="a3"/>
        <w:numPr>
          <w:ilvl w:val="1"/>
          <w:numId w:val="2"/>
        </w:numPr>
        <w:spacing w:line="240" w:lineRule="auto"/>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John</w:t>
      </w:r>
      <w:r w:rsidRPr="005B23F7">
        <w:rPr>
          <w:rFonts w:ascii="Arial" w:hAnsi="Arial" w:cs="Arial"/>
          <w:i/>
          <w:sz w:val="24"/>
          <w:szCs w:val="24"/>
        </w:rPr>
        <w:t xml:space="preserve"> </w:t>
      </w:r>
      <w:r w:rsidRPr="005B23F7">
        <w:rPr>
          <w:rFonts w:ascii="Arial" w:hAnsi="Arial" w:cs="Arial"/>
          <w:i/>
          <w:sz w:val="24"/>
          <w:szCs w:val="24"/>
          <w:lang w:val="en-US"/>
        </w:rPr>
        <w:t>Deere</w:t>
      </w:r>
      <w:r w:rsidRPr="005B23F7">
        <w:rPr>
          <w:rFonts w:ascii="Arial" w:hAnsi="Arial" w:cs="Arial"/>
          <w:sz w:val="24"/>
          <w:szCs w:val="24"/>
        </w:rPr>
        <w:t xml:space="preserve">: </w:t>
      </w:r>
      <w:r w:rsidR="00333F5B" w:rsidRPr="005B23F7">
        <w:rPr>
          <w:rFonts w:ascii="Arial" w:hAnsi="Arial" w:cs="Arial"/>
          <w:sz w:val="24"/>
          <w:szCs w:val="24"/>
        </w:rPr>
        <w:t xml:space="preserve">Σε μια </w:t>
      </w:r>
      <w:proofErr w:type="spellStart"/>
      <w:r w:rsidR="00333F5B" w:rsidRPr="005B23F7">
        <w:rPr>
          <w:rFonts w:ascii="Arial" w:hAnsi="Arial" w:cs="Arial"/>
          <w:sz w:val="24"/>
          <w:szCs w:val="24"/>
        </w:rPr>
        <w:t>ολιγοπωλιακή</w:t>
      </w:r>
      <w:proofErr w:type="spellEnd"/>
      <w:r w:rsidR="00333F5B" w:rsidRPr="005B23F7">
        <w:rPr>
          <w:rFonts w:ascii="Arial" w:hAnsi="Arial" w:cs="Arial"/>
          <w:sz w:val="24"/>
          <w:szCs w:val="24"/>
        </w:rPr>
        <w:t xml:space="preserve"> αγορά υψηλής συγκεντρώσεως, η συμφωνία που προβλέπει σύστημα </w:t>
      </w:r>
      <w:r w:rsidR="00333F5B" w:rsidRPr="005B23F7">
        <w:rPr>
          <w:rFonts w:ascii="Arial" w:hAnsi="Arial" w:cs="Arial"/>
          <w:sz w:val="24"/>
          <w:szCs w:val="24"/>
        </w:rPr>
        <w:lastRenderedPageBreak/>
        <w:t>ανταλλαγής πληροφοριών μεταξύ των επιχειρήσεων της αγοράς αυτής και μετριάζει ή αναιρεί την αβεβαιότητα ως προς τη λειτουργία της εν λόγω αγοράς απαγορεύεται από το άρθρο 101 παρ. 1 ΣΛΕΕ.</w:t>
      </w:r>
    </w:p>
    <w:p w:rsidR="00333F5B" w:rsidRPr="005B23F7" w:rsidRDefault="00333F5B" w:rsidP="0055297E">
      <w:pPr>
        <w:pStyle w:val="a3"/>
        <w:numPr>
          <w:ilvl w:val="1"/>
          <w:numId w:val="2"/>
        </w:numPr>
        <w:spacing w:line="240" w:lineRule="auto"/>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Nungesser</w:t>
      </w:r>
      <w:proofErr w:type="spellEnd"/>
      <w:r w:rsidRPr="005B23F7">
        <w:rPr>
          <w:rFonts w:ascii="Arial" w:hAnsi="Arial" w:cs="Arial"/>
          <w:i/>
          <w:sz w:val="24"/>
          <w:szCs w:val="24"/>
        </w:rPr>
        <w:t xml:space="preserve"> κατά Επιτροπής </w:t>
      </w:r>
      <w:r w:rsidRPr="005B23F7">
        <w:rPr>
          <w:rFonts w:ascii="Arial" w:hAnsi="Arial" w:cs="Arial"/>
          <w:sz w:val="24"/>
          <w:szCs w:val="24"/>
        </w:rPr>
        <w:t xml:space="preserve">&amp; Απόφαση </w:t>
      </w:r>
      <w:proofErr w:type="spellStart"/>
      <w:r w:rsidRPr="005B23F7">
        <w:rPr>
          <w:rFonts w:ascii="Arial" w:hAnsi="Arial" w:cs="Arial"/>
          <w:i/>
          <w:sz w:val="24"/>
          <w:szCs w:val="24"/>
        </w:rPr>
        <w:t>Erauw</w:t>
      </w:r>
      <w:proofErr w:type="spellEnd"/>
      <w:r w:rsidRPr="005B23F7">
        <w:rPr>
          <w:rFonts w:ascii="Arial" w:hAnsi="Arial" w:cs="Arial"/>
          <w:i/>
          <w:sz w:val="24"/>
          <w:szCs w:val="24"/>
        </w:rPr>
        <w:t>-</w:t>
      </w:r>
      <w:proofErr w:type="spellStart"/>
      <w:r w:rsidRPr="005B23F7">
        <w:rPr>
          <w:rFonts w:ascii="Arial" w:hAnsi="Arial" w:cs="Arial"/>
          <w:i/>
          <w:sz w:val="24"/>
          <w:szCs w:val="24"/>
        </w:rPr>
        <w:t>Jacquery</w:t>
      </w:r>
      <w:proofErr w:type="spellEnd"/>
      <w:r w:rsidRPr="005B23F7">
        <w:rPr>
          <w:rFonts w:ascii="Arial" w:hAnsi="Arial" w:cs="Arial"/>
          <w:sz w:val="24"/>
          <w:szCs w:val="24"/>
        </w:rPr>
        <w:t>: Η αύξηση της οικονομικής αποτελεσματικότητας με τη μορφή της εισόδου στην αγορά ενός νέου τύπου προϊόντος, που αναπτύχθηκε κατόπιν σημαντικής επενδυτικής έρευνας, συνεπάγεται τη νομιμότητα της ανοικτής σύμβασης αποκλειστικότητας δυνάμει της οποίας γίνεται η παραγωγή του ως άνω προϊόντος. Αν, όμως, η σύμβαση αποκλειστικότητας είναι κλειστή, υπό την έννοια ότι παρέχει προστασία κατά των παράλληλων εισαγωγών, τότε η εν λόγω σύμβαση εμπίπτει στην απαγόρευση του άρθρου 101 παρ. 1 ΣΛΕΕ.</w:t>
      </w:r>
    </w:p>
    <w:p w:rsidR="00333F5B" w:rsidRDefault="00333F5B" w:rsidP="0055297E">
      <w:pPr>
        <w:pStyle w:val="a3"/>
        <w:numPr>
          <w:ilvl w:val="1"/>
          <w:numId w:val="2"/>
        </w:numPr>
        <w:spacing w:line="240" w:lineRule="auto"/>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Metro</w:t>
      </w:r>
      <w:r w:rsidRPr="005B23F7">
        <w:rPr>
          <w:rFonts w:ascii="Arial" w:hAnsi="Arial" w:cs="Arial"/>
          <w:i/>
          <w:sz w:val="24"/>
          <w:szCs w:val="24"/>
        </w:rPr>
        <w:t xml:space="preserve"> </w:t>
      </w:r>
      <w:r w:rsidRPr="005B23F7">
        <w:rPr>
          <w:rFonts w:ascii="Arial" w:hAnsi="Arial" w:cs="Arial"/>
          <w:i/>
          <w:sz w:val="24"/>
          <w:szCs w:val="24"/>
          <w:lang w:val="en-US"/>
        </w:rPr>
        <w:t>I</w:t>
      </w:r>
      <w:r w:rsidRPr="005B23F7">
        <w:rPr>
          <w:rStyle w:val="a5"/>
          <w:rFonts w:ascii="Arial" w:hAnsi="Arial" w:cs="Arial"/>
          <w:sz w:val="24"/>
          <w:szCs w:val="24"/>
          <w:vertAlign w:val="baseline"/>
        </w:rPr>
        <w:t>:</w:t>
      </w:r>
      <w:r w:rsidRPr="005B23F7">
        <w:rPr>
          <w:rFonts w:ascii="Arial" w:hAnsi="Arial" w:cs="Arial"/>
          <w:sz w:val="24"/>
          <w:szCs w:val="24"/>
        </w:rPr>
        <w:t xml:space="preserve"> Η διαπίστωση κάποιας ακαμψίας στη διάρθρωση των τιμών μεταξύ των εμπόρων ορισμένου σηματοδοτημένου προϊόντος (</w:t>
      </w:r>
      <w:r w:rsidRPr="005B23F7">
        <w:rPr>
          <w:rFonts w:ascii="Arial" w:hAnsi="Arial" w:cs="Arial"/>
          <w:sz w:val="24"/>
          <w:szCs w:val="24"/>
          <w:lang w:val="en-US"/>
        </w:rPr>
        <w:t>intrabrand</w:t>
      </w:r>
      <w:r w:rsidRPr="005B23F7">
        <w:rPr>
          <w:rFonts w:ascii="Arial" w:hAnsi="Arial" w:cs="Arial"/>
          <w:sz w:val="24"/>
          <w:szCs w:val="24"/>
        </w:rPr>
        <w:t xml:space="preserve"> </w:t>
      </w:r>
      <w:r w:rsidRPr="005B23F7">
        <w:rPr>
          <w:rFonts w:ascii="Arial" w:hAnsi="Arial" w:cs="Arial"/>
          <w:sz w:val="24"/>
          <w:szCs w:val="24"/>
          <w:lang w:val="en-US"/>
        </w:rPr>
        <w:t>competition</w:t>
      </w:r>
      <w:r w:rsidRPr="005B23F7">
        <w:rPr>
          <w:rFonts w:ascii="Arial" w:hAnsi="Arial" w:cs="Arial"/>
          <w:sz w:val="24"/>
          <w:szCs w:val="24"/>
        </w:rPr>
        <w:t>) μπορεί να μην περιορίζει τον ανταγωνισμό εξ αντικειμένου, εφόσον διαπιστώνεται η ύπαρξη αποτελεσματικού ανταγωνισμού μεταξύ εμπόρων προϊόντων που ανήκουν στην ίδια κατηγορία και φέρουν διαφορετικά σήματα (</w:t>
      </w:r>
      <w:proofErr w:type="spellStart"/>
      <w:r w:rsidRPr="005B23F7">
        <w:rPr>
          <w:rFonts w:ascii="Arial" w:hAnsi="Arial" w:cs="Arial"/>
          <w:sz w:val="24"/>
          <w:szCs w:val="24"/>
          <w:lang w:val="en-US"/>
        </w:rPr>
        <w:t>interbrand</w:t>
      </w:r>
      <w:proofErr w:type="spellEnd"/>
      <w:r w:rsidRPr="005B23F7">
        <w:rPr>
          <w:rFonts w:ascii="Arial" w:hAnsi="Arial" w:cs="Arial"/>
          <w:sz w:val="24"/>
          <w:szCs w:val="24"/>
        </w:rPr>
        <w:t xml:space="preserve"> </w:t>
      </w:r>
      <w:r w:rsidRPr="005B23F7">
        <w:rPr>
          <w:rFonts w:ascii="Arial" w:hAnsi="Arial" w:cs="Arial"/>
          <w:sz w:val="24"/>
          <w:szCs w:val="24"/>
          <w:lang w:val="en-US"/>
        </w:rPr>
        <w:t>competition</w:t>
      </w:r>
      <w:r w:rsidRPr="005B23F7">
        <w:rPr>
          <w:rFonts w:ascii="Arial" w:hAnsi="Arial" w:cs="Arial"/>
          <w:sz w:val="24"/>
          <w:szCs w:val="24"/>
        </w:rPr>
        <w:t>).</w:t>
      </w:r>
    </w:p>
    <w:p w:rsidR="006A39F6" w:rsidRPr="005B23F7" w:rsidRDefault="006A39F6" w:rsidP="0055297E">
      <w:pPr>
        <w:pStyle w:val="a3"/>
        <w:numPr>
          <w:ilvl w:val="1"/>
          <w:numId w:val="2"/>
        </w:numPr>
        <w:spacing w:line="240" w:lineRule="auto"/>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Delimitis</w:t>
      </w:r>
      <w:proofErr w:type="spellEnd"/>
      <w:r w:rsidRPr="005B23F7">
        <w:rPr>
          <w:rFonts w:ascii="Arial" w:hAnsi="Arial" w:cs="Arial"/>
          <w:sz w:val="24"/>
          <w:szCs w:val="24"/>
        </w:rPr>
        <w:t>: Μια σύμβαση αποκλειστικής προμήθειας δεν συνιστά περιορισμό του ανταγωνισμού εξ αντικειμένου. Το συγκεκριμένο συμβατικό μόρφωμα συνεπάγεται οφέλη σε επίπεδο οικονομικής αποτελεσματικότητας τόσο για τον παραγωγό όσο και για το μεταπωλητή.</w:t>
      </w:r>
    </w:p>
    <w:p w:rsidR="00333F5B" w:rsidRPr="005B23F7" w:rsidRDefault="00333F5B" w:rsidP="0055297E">
      <w:pPr>
        <w:pStyle w:val="a3"/>
        <w:spacing w:line="240" w:lineRule="auto"/>
        <w:ind w:left="1440"/>
        <w:jc w:val="both"/>
        <w:rPr>
          <w:rFonts w:ascii="Arial" w:hAnsi="Arial" w:cs="Arial"/>
          <w:sz w:val="24"/>
          <w:szCs w:val="24"/>
        </w:rPr>
      </w:pPr>
    </w:p>
    <w:p w:rsidR="00333F5B" w:rsidRPr="005B23F7" w:rsidRDefault="00333F5B" w:rsidP="0055297E">
      <w:pPr>
        <w:pStyle w:val="a3"/>
        <w:numPr>
          <w:ilvl w:val="0"/>
          <w:numId w:val="2"/>
        </w:numPr>
        <w:spacing w:line="240" w:lineRule="auto"/>
        <w:jc w:val="both"/>
        <w:rPr>
          <w:rFonts w:ascii="Arial" w:hAnsi="Arial" w:cs="Arial"/>
          <w:sz w:val="24"/>
          <w:szCs w:val="24"/>
        </w:rPr>
      </w:pPr>
      <w:r w:rsidRPr="005B23F7">
        <w:rPr>
          <w:rFonts w:ascii="Arial" w:hAnsi="Arial" w:cs="Arial"/>
          <w:b/>
          <w:sz w:val="24"/>
          <w:szCs w:val="24"/>
        </w:rPr>
        <w:t>Χρήση της οικονομικής ανάλυσης για τη θεμελίωση της διαπίστωσης ότι μια σύμπραξη νοθεύει ή παρακωλύει ή περιορίζει τον ανταγωνισμό εξ αποτελέσματος</w:t>
      </w:r>
    </w:p>
    <w:p w:rsidR="00333F5B" w:rsidRPr="005B23F7" w:rsidRDefault="00333F5B" w:rsidP="0055297E">
      <w:pPr>
        <w:pStyle w:val="a3"/>
        <w:spacing w:line="240" w:lineRule="auto"/>
        <w:ind w:left="1440"/>
        <w:jc w:val="both"/>
        <w:rPr>
          <w:rFonts w:ascii="Arial" w:hAnsi="Arial" w:cs="Arial"/>
          <w:sz w:val="24"/>
          <w:szCs w:val="24"/>
        </w:rPr>
      </w:pPr>
    </w:p>
    <w:p w:rsidR="00333F5B" w:rsidRPr="005B23F7" w:rsidRDefault="00333F5B" w:rsidP="0055297E">
      <w:pPr>
        <w:pStyle w:val="a3"/>
        <w:numPr>
          <w:ilvl w:val="0"/>
          <w:numId w:val="3"/>
        </w:numPr>
        <w:spacing w:line="240" w:lineRule="auto"/>
        <w:ind w:left="1418"/>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rPr>
        <w:t>Gøttrup</w:t>
      </w:r>
      <w:proofErr w:type="spellEnd"/>
      <w:r w:rsidRPr="005B23F7">
        <w:rPr>
          <w:rFonts w:ascii="Arial" w:hAnsi="Arial" w:cs="Arial"/>
          <w:i/>
          <w:sz w:val="24"/>
          <w:szCs w:val="24"/>
        </w:rPr>
        <w:t>-</w:t>
      </w:r>
      <w:proofErr w:type="spellStart"/>
      <w:r w:rsidRPr="005B23F7">
        <w:rPr>
          <w:rFonts w:ascii="Arial" w:hAnsi="Arial" w:cs="Arial"/>
          <w:i/>
          <w:sz w:val="24"/>
          <w:szCs w:val="24"/>
          <w:lang w:val="en-US"/>
        </w:rPr>
        <w:t>Klim</w:t>
      </w:r>
      <w:proofErr w:type="spellEnd"/>
      <w:r w:rsidRPr="005B23F7">
        <w:rPr>
          <w:rFonts w:ascii="Arial" w:hAnsi="Arial" w:cs="Arial"/>
          <w:sz w:val="24"/>
          <w:szCs w:val="24"/>
        </w:rPr>
        <w:t xml:space="preserve">: </w:t>
      </w:r>
      <w:r w:rsidR="009222D7" w:rsidRPr="005B23F7">
        <w:rPr>
          <w:rFonts w:ascii="Arial" w:hAnsi="Arial" w:cs="Arial"/>
          <w:sz w:val="24"/>
          <w:szCs w:val="24"/>
        </w:rPr>
        <w:t>Το συμβατό του καταστατικού μιας συνεταιριστικής ένωσης αγορών με τους ενωσιακούς κανόνες ανταγωνισμού δεν πρέπει να εκτιμάται αόριστα, αλλά εξαρτάται από τις συγκεκριμένες ρήτρες του καταστατικού της ενώσεως και από τις οικονομικές συνθήκες που επικρατούν στις σχετικές αγορές.</w:t>
      </w:r>
    </w:p>
    <w:p w:rsidR="009222D7" w:rsidRPr="005B23F7" w:rsidRDefault="009222D7" w:rsidP="0055297E">
      <w:pPr>
        <w:pStyle w:val="a3"/>
        <w:numPr>
          <w:ilvl w:val="0"/>
          <w:numId w:val="3"/>
        </w:numPr>
        <w:spacing w:line="240" w:lineRule="auto"/>
        <w:ind w:left="1418"/>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Pronuptia</w:t>
      </w:r>
      <w:proofErr w:type="spellEnd"/>
      <w:r w:rsidRPr="005B23F7">
        <w:rPr>
          <w:rFonts w:ascii="Arial" w:hAnsi="Arial" w:cs="Arial"/>
          <w:sz w:val="24"/>
          <w:szCs w:val="24"/>
        </w:rPr>
        <w:t xml:space="preserve">: Η συμφωνία </w:t>
      </w:r>
      <w:proofErr w:type="spellStart"/>
      <w:r w:rsidRPr="005B23F7">
        <w:rPr>
          <w:rFonts w:ascii="Arial" w:hAnsi="Arial" w:cs="Arial"/>
          <w:sz w:val="24"/>
          <w:szCs w:val="24"/>
        </w:rPr>
        <w:t>δικαιόχρησης</w:t>
      </w:r>
      <w:proofErr w:type="spellEnd"/>
      <w:r w:rsidRPr="005B23F7">
        <w:rPr>
          <w:rFonts w:ascii="Arial" w:hAnsi="Arial" w:cs="Arial"/>
          <w:sz w:val="24"/>
          <w:szCs w:val="24"/>
        </w:rPr>
        <w:t xml:space="preserve"> δεν είναι αυτή καθαυτή αντίθετη στο άρθρο 101 παρ. 1 ΣΛΕΕ. Ωστόσο, στο κείμενο της συμφωνίας </w:t>
      </w:r>
      <w:proofErr w:type="spellStart"/>
      <w:r w:rsidRPr="005B23F7">
        <w:rPr>
          <w:rFonts w:ascii="Arial" w:hAnsi="Arial" w:cs="Arial"/>
          <w:sz w:val="24"/>
          <w:szCs w:val="24"/>
        </w:rPr>
        <w:t>δικαιόχρησης</w:t>
      </w:r>
      <w:proofErr w:type="spellEnd"/>
      <w:r w:rsidRPr="005B23F7">
        <w:rPr>
          <w:rFonts w:ascii="Arial" w:hAnsi="Arial" w:cs="Arial"/>
          <w:sz w:val="24"/>
          <w:szCs w:val="24"/>
        </w:rPr>
        <w:t xml:space="preserve"> ενδέχεται να περιλαμβάνονται αντιανταγωνιστικές ρήτρες.</w:t>
      </w:r>
    </w:p>
    <w:p w:rsidR="009222D7" w:rsidRPr="005B23F7" w:rsidRDefault="009222D7" w:rsidP="0055297E">
      <w:pPr>
        <w:pStyle w:val="a3"/>
        <w:numPr>
          <w:ilvl w:val="0"/>
          <w:numId w:val="3"/>
        </w:numPr>
        <w:spacing w:line="240" w:lineRule="auto"/>
        <w:ind w:left="1418"/>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Tournier</w:t>
      </w:r>
      <w:proofErr w:type="spellEnd"/>
      <w:r w:rsidRPr="005B23F7">
        <w:rPr>
          <w:rFonts w:ascii="Arial" w:hAnsi="Arial" w:cs="Arial"/>
          <w:sz w:val="24"/>
          <w:szCs w:val="24"/>
        </w:rPr>
        <w:t>: Η αποφυγή της αύξησης των εξόδων για τη διαχείριση των συμβάσεων και για την εποπτεία στη χρησιμοποίηση των προστατευόμενων μουσικών έργων ενδέχεται να δικαιολογεί την άρνηση μιας εθνικής εταιρείας διαχείρισης δικαιωμάτων του δημιουργού στο</w:t>
      </w:r>
      <w:r w:rsidR="0055297E">
        <w:rPr>
          <w:rFonts w:ascii="Arial" w:hAnsi="Arial" w:cs="Arial"/>
          <w:sz w:val="24"/>
          <w:szCs w:val="24"/>
        </w:rPr>
        <w:t>ν</w:t>
      </w:r>
      <w:r w:rsidRPr="005B23F7">
        <w:rPr>
          <w:rFonts w:ascii="Arial" w:hAnsi="Arial" w:cs="Arial"/>
          <w:sz w:val="24"/>
          <w:szCs w:val="24"/>
        </w:rPr>
        <w:t xml:space="preserve"> μουσικό τομέα να παράσχει στους χρήστες εγγεγραμμένης μουσικής πρόσβαση μόνο στο αλλοδαπό ρεπερτόριο που αντιπροσωπεύει.</w:t>
      </w:r>
    </w:p>
    <w:p w:rsidR="009222D7" w:rsidRPr="005B23F7" w:rsidRDefault="009222D7" w:rsidP="0055297E">
      <w:pPr>
        <w:pStyle w:val="a3"/>
        <w:spacing w:line="240" w:lineRule="auto"/>
        <w:ind w:left="1418"/>
        <w:jc w:val="both"/>
        <w:rPr>
          <w:rFonts w:ascii="Arial" w:hAnsi="Arial" w:cs="Arial"/>
          <w:sz w:val="24"/>
          <w:szCs w:val="24"/>
        </w:rPr>
      </w:pPr>
    </w:p>
    <w:p w:rsidR="004F55CE" w:rsidRPr="005B23F7" w:rsidRDefault="004F55CE" w:rsidP="0055297E">
      <w:pPr>
        <w:spacing w:line="240" w:lineRule="auto"/>
        <w:jc w:val="both"/>
        <w:rPr>
          <w:rFonts w:ascii="Arial" w:hAnsi="Arial" w:cs="Arial"/>
          <w:b/>
          <w:sz w:val="24"/>
          <w:szCs w:val="24"/>
        </w:rPr>
      </w:pPr>
      <w:r w:rsidRPr="005B23F7">
        <w:rPr>
          <w:rFonts w:ascii="Arial" w:hAnsi="Arial" w:cs="Arial"/>
          <w:b/>
          <w:sz w:val="24"/>
          <w:szCs w:val="24"/>
        </w:rPr>
        <w:lastRenderedPageBreak/>
        <w:t>2.</w:t>
      </w:r>
      <w:r w:rsidRPr="005B23F7">
        <w:rPr>
          <w:rFonts w:ascii="Arial" w:hAnsi="Arial" w:cs="Arial"/>
          <w:sz w:val="24"/>
          <w:szCs w:val="24"/>
        </w:rPr>
        <w:t xml:space="preserve"> </w:t>
      </w:r>
      <w:r w:rsidRPr="005B23F7">
        <w:rPr>
          <w:rFonts w:ascii="Arial" w:hAnsi="Arial" w:cs="Arial"/>
          <w:b/>
          <w:sz w:val="24"/>
          <w:szCs w:val="24"/>
        </w:rPr>
        <w:t>Εφαρμογή των αρχών της οικονομικής ανάλυσης κατά την εφαρμογή του άρθρου 101 παρ. 3 ΣΛΕΕ</w:t>
      </w:r>
    </w:p>
    <w:p w:rsidR="004F55CE" w:rsidRPr="005B23F7" w:rsidRDefault="004F55CE" w:rsidP="0055297E">
      <w:pPr>
        <w:pStyle w:val="a3"/>
        <w:numPr>
          <w:ilvl w:val="0"/>
          <w:numId w:val="5"/>
        </w:numPr>
        <w:spacing w:after="0" w:line="240" w:lineRule="auto"/>
        <w:jc w:val="both"/>
        <w:rPr>
          <w:rFonts w:ascii="Arial" w:hAnsi="Arial" w:cs="Arial"/>
          <w:sz w:val="24"/>
          <w:szCs w:val="24"/>
        </w:rPr>
      </w:pPr>
      <w:r w:rsidRPr="005B23F7">
        <w:rPr>
          <w:rFonts w:ascii="Arial" w:hAnsi="Arial" w:cs="Arial"/>
          <w:b/>
          <w:sz w:val="24"/>
          <w:szCs w:val="24"/>
        </w:rPr>
        <w:t xml:space="preserve">Άρθρο 101 παρ. 3 ΣΛΕΕ: </w:t>
      </w:r>
      <w:r w:rsidRPr="005B23F7">
        <w:rPr>
          <w:rFonts w:ascii="Arial" w:hAnsi="Arial" w:cs="Arial"/>
          <w:sz w:val="24"/>
          <w:szCs w:val="24"/>
        </w:rPr>
        <w:t>Συμπράξεις (δηλαδή συμφωνίες, εναρμονισμένες πρακτικές και αποφάσεις ενώσεων επιχειρήσεων) που απαγορεύονται καταρχήν από το άρθρο 101 παρ. 1 ΣΛΕΕ μπορούν τελικά να κριθούν νόμιμες και συμβατές με την εσωτερική αγορά, εφόσον σωρευτικά πληρούνται τέσσερις προϋποθέσεις:</w:t>
      </w:r>
    </w:p>
    <w:p w:rsidR="004F55CE" w:rsidRPr="005B23F7" w:rsidRDefault="004F55CE" w:rsidP="0055297E">
      <w:pPr>
        <w:spacing w:after="0" w:line="240" w:lineRule="auto"/>
        <w:ind w:left="709"/>
        <w:jc w:val="both"/>
        <w:rPr>
          <w:rFonts w:ascii="Arial" w:hAnsi="Arial" w:cs="Arial"/>
          <w:sz w:val="24"/>
          <w:szCs w:val="24"/>
        </w:rPr>
      </w:pPr>
      <w:r w:rsidRPr="005B23F7">
        <w:rPr>
          <w:rFonts w:ascii="Arial" w:hAnsi="Arial" w:cs="Arial"/>
          <w:sz w:val="24"/>
          <w:szCs w:val="24"/>
        </w:rPr>
        <w:t>i) Η σύμπραξη συμβάλλει στη βελτίωση της παραγωγής ή της διανομής των προϊόντων ή στην προώθηση της τεχνικής – οικονομικής προόδου</w:t>
      </w:r>
    </w:p>
    <w:p w:rsidR="004F55CE" w:rsidRPr="005B23F7" w:rsidRDefault="004F55CE" w:rsidP="0055297E">
      <w:pPr>
        <w:spacing w:after="0" w:line="240" w:lineRule="auto"/>
        <w:ind w:left="709"/>
        <w:jc w:val="both"/>
        <w:rPr>
          <w:rFonts w:ascii="Arial" w:hAnsi="Arial" w:cs="Arial"/>
          <w:sz w:val="24"/>
          <w:szCs w:val="24"/>
        </w:rPr>
      </w:pPr>
      <w:r w:rsidRPr="005B23F7">
        <w:rPr>
          <w:rFonts w:ascii="Arial" w:hAnsi="Arial" w:cs="Arial"/>
          <w:sz w:val="24"/>
          <w:szCs w:val="24"/>
        </w:rPr>
        <w:t>ii) εξασφαλίζει δίκαιο τμήμα στους καταναλωτές από το όφελος που προκύπτει</w:t>
      </w:r>
    </w:p>
    <w:p w:rsidR="004F55CE" w:rsidRPr="005B23F7" w:rsidRDefault="004F55CE" w:rsidP="0055297E">
      <w:pPr>
        <w:spacing w:after="0" w:line="240" w:lineRule="auto"/>
        <w:ind w:left="709"/>
        <w:jc w:val="both"/>
        <w:rPr>
          <w:rFonts w:ascii="Arial" w:hAnsi="Arial" w:cs="Arial"/>
          <w:sz w:val="24"/>
          <w:szCs w:val="24"/>
        </w:rPr>
      </w:pPr>
      <w:r w:rsidRPr="005B23F7">
        <w:rPr>
          <w:rFonts w:ascii="Arial" w:hAnsi="Arial" w:cs="Arial"/>
          <w:sz w:val="24"/>
          <w:szCs w:val="24"/>
        </w:rPr>
        <w:t>iii) οι περιορισμοί που επιβάλλονται στις συμπράττουσες επιχειρήσεις είναι απαραίτητοι για την επίτευξη των παραπάνω στόχων (υπό (i))</w:t>
      </w:r>
    </w:p>
    <w:p w:rsidR="004F55CE" w:rsidRPr="005B23F7" w:rsidRDefault="004F55CE" w:rsidP="0055297E">
      <w:pPr>
        <w:spacing w:after="0" w:line="240" w:lineRule="auto"/>
        <w:ind w:left="709"/>
        <w:jc w:val="both"/>
        <w:rPr>
          <w:rFonts w:ascii="Arial" w:hAnsi="Arial" w:cs="Arial"/>
          <w:sz w:val="24"/>
          <w:szCs w:val="24"/>
        </w:rPr>
      </w:pPr>
      <w:r w:rsidRPr="005B23F7">
        <w:rPr>
          <w:rFonts w:ascii="Arial" w:hAnsi="Arial" w:cs="Arial"/>
          <w:sz w:val="24"/>
          <w:szCs w:val="24"/>
        </w:rPr>
        <w:t>iv) η σύμπραξη δεν παρέχει στα μέρη τη δυνατότητα κατάργησης του ανταγωνισμού σε σημαντικό τμήμα των σχετικών προϊόντων (σχετικής αγοράς).</w:t>
      </w:r>
    </w:p>
    <w:p w:rsidR="004F55CE" w:rsidRPr="005B23F7" w:rsidRDefault="004F55CE" w:rsidP="0055297E">
      <w:pPr>
        <w:spacing w:after="0" w:line="240" w:lineRule="auto"/>
        <w:ind w:left="709"/>
        <w:jc w:val="both"/>
        <w:rPr>
          <w:rFonts w:ascii="Arial" w:hAnsi="Arial" w:cs="Arial"/>
          <w:sz w:val="24"/>
          <w:szCs w:val="24"/>
        </w:rPr>
      </w:pPr>
    </w:p>
    <w:p w:rsidR="004F55CE" w:rsidRPr="005B23F7" w:rsidRDefault="004F55CE" w:rsidP="0055297E">
      <w:pPr>
        <w:pStyle w:val="a3"/>
        <w:numPr>
          <w:ilvl w:val="0"/>
          <w:numId w:val="5"/>
        </w:numPr>
        <w:spacing w:after="0" w:line="240" w:lineRule="auto"/>
        <w:jc w:val="both"/>
        <w:rPr>
          <w:rFonts w:ascii="Arial" w:hAnsi="Arial" w:cs="Arial"/>
          <w:b/>
          <w:sz w:val="24"/>
          <w:szCs w:val="24"/>
        </w:rPr>
      </w:pPr>
      <w:r w:rsidRPr="005B23F7">
        <w:rPr>
          <w:rFonts w:ascii="Arial" w:hAnsi="Arial" w:cs="Arial"/>
          <w:b/>
          <w:sz w:val="24"/>
          <w:szCs w:val="24"/>
        </w:rPr>
        <w:t>Παραδείγματα συμπράξεων που κρίθηκαν νόμιμες:</w:t>
      </w:r>
    </w:p>
    <w:p w:rsidR="004F55CE" w:rsidRPr="005B23F7" w:rsidRDefault="004F55CE"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Υπόθεση </w:t>
      </w:r>
      <w:proofErr w:type="spellStart"/>
      <w:r w:rsidRPr="005B23F7">
        <w:rPr>
          <w:rFonts w:ascii="Arial" w:hAnsi="Arial" w:cs="Arial"/>
          <w:i/>
          <w:sz w:val="24"/>
          <w:szCs w:val="24"/>
        </w:rPr>
        <w:t>Beecham</w:t>
      </w:r>
      <w:proofErr w:type="spellEnd"/>
      <w:r w:rsidRPr="005B23F7">
        <w:rPr>
          <w:rFonts w:ascii="Arial" w:hAnsi="Arial" w:cs="Arial"/>
          <w:i/>
          <w:sz w:val="24"/>
          <w:szCs w:val="24"/>
        </w:rPr>
        <w:t>/</w:t>
      </w:r>
      <w:proofErr w:type="spellStart"/>
      <w:r w:rsidRPr="005B23F7">
        <w:rPr>
          <w:rFonts w:ascii="Arial" w:hAnsi="Arial" w:cs="Arial"/>
          <w:i/>
          <w:sz w:val="24"/>
          <w:szCs w:val="24"/>
        </w:rPr>
        <w:t>Parke</w:t>
      </w:r>
      <w:proofErr w:type="spellEnd"/>
      <w:r w:rsidRPr="005B23F7">
        <w:rPr>
          <w:rFonts w:ascii="Arial" w:hAnsi="Arial" w:cs="Arial"/>
          <w:i/>
          <w:sz w:val="24"/>
          <w:szCs w:val="24"/>
        </w:rPr>
        <w:t>-</w:t>
      </w:r>
      <w:proofErr w:type="spellStart"/>
      <w:r w:rsidRPr="005B23F7">
        <w:rPr>
          <w:rFonts w:ascii="Arial" w:hAnsi="Arial" w:cs="Arial"/>
          <w:i/>
          <w:sz w:val="24"/>
          <w:szCs w:val="24"/>
        </w:rPr>
        <w:t>Davis</w:t>
      </w:r>
      <w:proofErr w:type="spellEnd"/>
    </w:p>
    <w:p w:rsidR="004F55CE" w:rsidRPr="005B23F7" w:rsidRDefault="004F55CE"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Υπόθεση </w:t>
      </w:r>
      <w:proofErr w:type="spellStart"/>
      <w:r w:rsidRPr="005B23F7">
        <w:rPr>
          <w:rFonts w:ascii="Arial" w:hAnsi="Arial" w:cs="Arial"/>
          <w:i/>
          <w:sz w:val="24"/>
          <w:szCs w:val="24"/>
        </w:rPr>
        <w:t>Ford</w:t>
      </w:r>
      <w:proofErr w:type="spellEnd"/>
      <w:r w:rsidRPr="005B23F7">
        <w:rPr>
          <w:rFonts w:ascii="Arial" w:hAnsi="Arial" w:cs="Arial"/>
          <w:i/>
          <w:sz w:val="24"/>
          <w:szCs w:val="24"/>
        </w:rPr>
        <w:t>/</w:t>
      </w:r>
      <w:proofErr w:type="spellStart"/>
      <w:r w:rsidRPr="005B23F7">
        <w:rPr>
          <w:rFonts w:ascii="Arial" w:hAnsi="Arial" w:cs="Arial"/>
          <w:i/>
          <w:sz w:val="24"/>
          <w:szCs w:val="24"/>
        </w:rPr>
        <w:t>Volkswagen</w:t>
      </w:r>
      <w:proofErr w:type="spellEnd"/>
    </w:p>
    <w:p w:rsidR="004F55CE" w:rsidRPr="005B23F7" w:rsidRDefault="004F55CE"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Υπόθεση </w:t>
      </w:r>
      <w:proofErr w:type="spellStart"/>
      <w:r w:rsidRPr="005B23F7">
        <w:rPr>
          <w:rFonts w:ascii="Arial" w:hAnsi="Arial" w:cs="Arial"/>
          <w:i/>
          <w:sz w:val="24"/>
          <w:szCs w:val="24"/>
        </w:rPr>
        <w:t>GlaxoSmithKlineServices</w:t>
      </w:r>
      <w:proofErr w:type="spellEnd"/>
    </w:p>
    <w:p w:rsidR="004F55CE" w:rsidRPr="005B23F7" w:rsidRDefault="004F55CE"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Υπόθεση </w:t>
      </w:r>
      <w:r w:rsidRPr="005B23F7">
        <w:rPr>
          <w:rFonts w:ascii="Arial" w:hAnsi="Arial" w:cs="Arial"/>
          <w:i/>
          <w:sz w:val="24"/>
          <w:szCs w:val="24"/>
          <w:lang w:val="en-US"/>
        </w:rPr>
        <w:t>Whitbread</w:t>
      </w:r>
    </w:p>
    <w:p w:rsidR="004F55CE" w:rsidRPr="005B23F7" w:rsidRDefault="004F55CE"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Υπόθεση </w:t>
      </w:r>
      <w:r w:rsidRPr="005B23F7">
        <w:rPr>
          <w:rFonts w:ascii="Arial" w:hAnsi="Arial" w:cs="Arial"/>
          <w:i/>
          <w:sz w:val="24"/>
          <w:szCs w:val="24"/>
          <w:lang w:val="en-US"/>
        </w:rPr>
        <w:t>Rockwell</w:t>
      </w:r>
      <w:r w:rsidRPr="005B23F7">
        <w:rPr>
          <w:rFonts w:ascii="Arial" w:hAnsi="Arial" w:cs="Arial"/>
          <w:i/>
          <w:sz w:val="24"/>
          <w:szCs w:val="24"/>
        </w:rPr>
        <w:t>/</w:t>
      </w:r>
      <w:proofErr w:type="spellStart"/>
      <w:r w:rsidRPr="005B23F7">
        <w:rPr>
          <w:rFonts w:ascii="Arial" w:hAnsi="Arial" w:cs="Arial"/>
          <w:i/>
          <w:sz w:val="24"/>
          <w:szCs w:val="24"/>
          <w:lang w:val="en-US"/>
        </w:rPr>
        <w:t>Iveco</w:t>
      </w:r>
      <w:proofErr w:type="spellEnd"/>
    </w:p>
    <w:p w:rsidR="004F55CE" w:rsidRPr="005B23F7" w:rsidRDefault="004F55CE"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Υπόθεση </w:t>
      </w:r>
      <w:proofErr w:type="spellStart"/>
      <w:r w:rsidRPr="005B23F7">
        <w:rPr>
          <w:rFonts w:ascii="Arial" w:hAnsi="Arial" w:cs="Arial"/>
          <w:i/>
          <w:sz w:val="24"/>
          <w:szCs w:val="24"/>
          <w:lang w:val="en-US"/>
        </w:rPr>
        <w:t>Nuova</w:t>
      </w:r>
      <w:proofErr w:type="spellEnd"/>
      <w:r w:rsidRPr="005B23F7">
        <w:rPr>
          <w:rFonts w:ascii="Arial" w:hAnsi="Arial" w:cs="Arial"/>
          <w:i/>
          <w:sz w:val="24"/>
          <w:szCs w:val="24"/>
        </w:rPr>
        <w:t xml:space="preserve"> </w:t>
      </w:r>
      <w:r w:rsidRPr="005B23F7">
        <w:rPr>
          <w:rFonts w:ascii="Arial" w:hAnsi="Arial" w:cs="Arial"/>
          <w:i/>
          <w:sz w:val="24"/>
          <w:szCs w:val="24"/>
          <w:lang w:val="en-US"/>
        </w:rPr>
        <w:t>CEGAM</w:t>
      </w:r>
    </w:p>
    <w:p w:rsidR="004F55CE" w:rsidRPr="005B23F7" w:rsidRDefault="004F55CE" w:rsidP="0055297E">
      <w:pPr>
        <w:pStyle w:val="a3"/>
        <w:spacing w:after="0" w:line="240" w:lineRule="auto"/>
        <w:ind w:left="1440"/>
        <w:jc w:val="both"/>
        <w:rPr>
          <w:rFonts w:ascii="Arial" w:hAnsi="Arial" w:cs="Arial"/>
          <w:sz w:val="24"/>
          <w:szCs w:val="24"/>
        </w:rPr>
      </w:pPr>
    </w:p>
    <w:p w:rsidR="004F55CE" w:rsidRPr="005B23F7" w:rsidRDefault="004F55CE" w:rsidP="0055297E">
      <w:pPr>
        <w:spacing w:line="240" w:lineRule="auto"/>
        <w:rPr>
          <w:rFonts w:ascii="Arial" w:hAnsi="Arial" w:cs="Arial"/>
          <w:sz w:val="24"/>
          <w:szCs w:val="24"/>
        </w:rPr>
      </w:pPr>
      <w:r w:rsidRPr="005B23F7">
        <w:rPr>
          <w:rFonts w:ascii="Arial" w:hAnsi="Arial" w:cs="Arial"/>
          <w:sz w:val="24"/>
          <w:szCs w:val="24"/>
        </w:rPr>
        <w:br w:type="page"/>
      </w:r>
    </w:p>
    <w:p w:rsidR="004F55CE" w:rsidRPr="005B23F7" w:rsidRDefault="004F55CE" w:rsidP="0055297E">
      <w:pPr>
        <w:spacing w:after="0" w:line="240" w:lineRule="auto"/>
        <w:jc w:val="both"/>
        <w:rPr>
          <w:rFonts w:ascii="Arial" w:hAnsi="Arial" w:cs="Arial"/>
          <w:b/>
          <w:sz w:val="24"/>
          <w:szCs w:val="24"/>
        </w:rPr>
      </w:pPr>
      <w:r w:rsidRPr="005B23F7">
        <w:rPr>
          <w:rFonts w:ascii="Arial" w:hAnsi="Arial" w:cs="Arial"/>
          <w:b/>
          <w:sz w:val="24"/>
          <w:szCs w:val="24"/>
          <w:lang w:val="en-US"/>
        </w:rPr>
        <w:lastRenderedPageBreak/>
        <w:t>II</w:t>
      </w:r>
      <w:r w:rsidRPr="005B23F7">
        <w:rPr>
          <w:rFonts w:ascii="Arial" w:hAnsi="Arial" w:cs="Arial"/>
          <w:b/>
          <w:sz w:val="24"/>
          <w:szCs w:val="24"/>
        </w:rPr>
        <w:t>. Εφαρμογή των αρχών της οικονομικής ανάλυσης κατά την εφαρμογή του άρθρου 102 ΣΛΕΕ</w:t>
      </w:r>
    </w:p>
    <w:p w:rsidR="004F55CE" w:rsidRPr="005B23F7" w:rsidRDefault="004F55CE" w:rsidP="0055297E">
      <w:pPr>
        <w:spacing w:after="0" w:line="240" w:lineRule="auto"/>
        <w:jc w:val="both"/>
        <w:rPr>
          <w:rFonts w:ascii="Arial" w:hAnsi="Arial" w:cs="Arial"/>
          <w:b/>
          <w:sz w:val="24"/>
          <w:szCs w:val="24"/>
        </w:rPr>
      </w:pPr>
    </w:p>
    <w:p w:rsidR="004F55CE" w:rsidRPr="005B23F7" w:rsidRDefault="004F55CE" w:rsidP="0055297E">
      <w:pPr>
        <w:spacing w:after="0" w:line="240" w:lineRule="auto"/>
        <w:jc w:val="both"/>
        <w:rPr>
          <w:rFonts w:ascii="Arial" w:hAnsi="Arial" w:cs="Arial"/>
          <w:b/>
          <w:sz w:val="24"/>
          <w:szCs w:val="24"/>
        </w:rPr>
      </w:pPr>
      <w:r w:rsidRPr="005B23F7">
        <w:rPr>
          <w:rFonts w:ascii="Arial" w:hAnsi="Arial" w:cs="Arial"/>
          <w:b/>
          <w:sz w:val="24"/>
          <w:szCs w:val="24"/>
        </w:rPr>
        <w:t>1. Εισαγωγικά</w:t>
      </w:r>
    </w:p>
    <w:p w:rsidR="004F55CE" w:rsidRPr="005B23F7" w:rsidRDefault="004F55CE" w:rsidP="0055297E">
      <w:pPr>
        <w:spacing w:after="0" w:line="240" w:lineRule="auto"/>
        <w:jc w:val="both"/>
        <w:rPr>
          <w:rFonts w:ascii="Arial" w:hAnsi="Arial" w:cs="Arial"/>
          <w:sz w:val="24"/>
          <w:szCs w:val="24"/>
        </w:rPr>
      </w:pPr>
    </w:p>
    <w:p w:rsidR="004F55CE" w:rsidRPr="005B23F7" w:rsidRDefault="004F55CE" w:rsidP="0055297E">
      <w:pPr>
        <w:spacing w:after="0" w:line="240" w:lineRule="auto"/>
        <w:jc w:val="both"/>
        <w:rPr>
          <w:rFonts w:ascii="Arial" w:hAnsi="Arial" w:cs="Arial"/>
          <w:sz w:val="24"/>
          <w:szCs w:val="24"/>
        </w:rPr>
      </w:pPr>
      <w:r w:rsidRPr="005B23F7">
        <w:rPr>
          <w:rFonts w:ascii="Arial" w:hAnsi="Arial" w:cs="Arial"/>
          <w:b/>
          <w:sz w:val="24"/>
          <w:szCs w:val="24"/>
        </w:rPr>
        <w:t>Άρθρο 102 ΣΛΕΕ:</w:t>
      </w:r>
      <w:r w:rsidRPr="005B23F7">
        <w:rPr>
          <w:rFonts w:ascii="Arial" w:hAnsi="Arial" w:cs="Arial"/>
          <w:sz w:val="24"/>
          <w:szCs w:val="24"/>
        </w:rPr>
        <w:t xml:space="preserve"> «Είναι ασυμβίβαστη με την εσωτερική αγορά και απαγορεύεται, κατά το μέτρο που δύναται να επηρεάσει το εμπόριο μεταξύ των κρατών μελών, η καταχρηστική εκμετάλλευση από μία ή περισσότερες επιχειρήσεις της δεσπόζουσας θέσης τους εντός της εσωτερικής αγοράς ή σημαντικού τμήματός της.»</w:t>
      </w:r>
    </w:p>
    <w:p w:rsidR="004F55CE" w:rsidRPr="005B23F7" w:rsidRDefault="004F55CE" w:rsidP="0055297E">
      <w:pPr>
        <w:spacing w:after="0" w:line="240" w:lineRule="auto"/>
        <w:jc w:val="both"/>
        <w:rPr>
          <w:rFonts w:ascii="Arial" w:hAnsi="Arial" w:cs="Arial"/>
          <w:sz w:val="24"/>
          <w:szCs w:val="24"/>
        </w:rPr>
      </w:pPr>
    </w:p>
    <w:p w:rsidR="00DB5E21" w:rsidRPr="005B23F7" w:rsidRDefault="00DB5E21" w:rsidP="0055297E">
      <w:pPr>
        <w:spacing w:after="0" w:line="240" w:lineRule="auto"/>
        <w:jc w:val="both"/>
        <w:rPr>
          <w:rFonts w:ascii="Arial" w:hAnsi="Arial" w:cs="Arial"/>
          <w:b/>
          <w:sz w:val="24"/>
          <w:szCs w:val="24"/>
        </w:rPr>
      </w:pPr>
    </w:p>
    <w:p w:rsidR="004F55CE" w:rsidRPr="005B23F7" w:rsidRDefault="004F55CE" w:rsidP="0055297E">
      <w:pPr>
        <w:spacing w:after="0" w:line="240" w:lineRule="auto"/>
        <w:jc w:val="both"/>
        <w:rPr>
          <w:rFonts w:ascii="Arial" w:hAnsi="Arial" w:cs="Arial"/>
          <w:b/>
          <w:sz w:val="24"/>
          <w:szCs w:val="24"/>
        </w:rPr>
      </w:pPr>
      <w:r w:rsidRPr="005B23F7">
        <w:rPr>
          <w:rFonts w:ascii="Arial" w:hAnsi="Arial" w:cs="Arial"/>
          <w:b/>
          <w:sz w:val="24"/>
          <w:szCs w:val="24"/>
        </w:rPr>
        <w:t>2. Οριοθέτηση της σχετικής αγοράς</w:t>
      </w:r>
    </w:p>
    <w:p w:rsidR="004F55CE" w:rsidRPr="005B23F7" w:rsidRDefault="004F55CE" w:rsidP="0055297E">
      <w:pPr>
        <w:spacing w:after="0" w:line="240" w:lineRule="auto"/>
        <w:jc w:val="both"/>
        <w:rPr>
          <w:rFonts w:ascii="Arial" w:hAnsi="Arial" w:cs="Arial"/>
          <w:b/>
          <w:sz w:val="24"/>
          <w:szCs w:val="24"/>
        </w:rPr>
      </w:pPr>
    </w:p>
    <w:p w:rsidR="004F55CE" w:rsidRPr="005B23F7" w:rsidRDefault="004F55CE" w:rsidP="0055297E">
      <w:pPr>
        <w:spacing w:after="0" w:line="240" w:lineRule="auto"/>
        <w:jc w:val="both"/>
        <w:rPr>
          <w:rFonts w:ascii="Arial" w:hAnsi="Arial" w:cs="Arial"/>
          <w:b/>
          <w:sz w:val="24"/>
          <w:szCs w:val="24"/>
        </w:rPr>
      </w:pPr>
      <w:r w:rsidRPr="005B23F7">
        <w:rPr>
          <w:rFonts w:ascii="Arial" w:hAnsi="Arial" w:cs="Arial"/>
          <w:b/>
          <w:sz w:val="24"/>
          <w:szCs w:val="24"/>
        </w:rPr>
        <w:t>α) Οριοθέτηση της σχετικής αγοράς προϊόντος ή υπηρεσίας</w:t>
      </w:r>
    </w:p>
    <w:p w:rsidR="004F55CE" w:rsidRPr="005B23F7" w:rsidRDefault="004F55CE" w:rsidP="0055297E">
      <w:pPr>
        <w:spacing w:after="0" w:line="240" w:lineRule="auto"/>
        <w:jc w:val="both"/>
        <w:rPr>
          <w:rFonts w:ascii="Arial" w:hAnsi="Arial" w:cs="Arial"/>
          <w:sz w:val="24"/>
          <w:szCs w:val="24"/>
        </w:rPr>
      </w:pPr>
    </w:p>
    <w:p w:rsidR="004F55CE" w:rsidRPr="005B23F7" w:rsidRDefault="004F55CE" w:rsidP="0055297E">
      <w:pPr>
        <w:pStyle w:val="a3"/>
        <w:numPr>
          <w:ilvl w:val="0"/>
          <w:numId w:val="5"/>
        </w:numPr>
        <w:spacing w:after="0" w:line="240" w:lineRule="auto"/>
        <w:jc w:val="both"/>
        <w:rPr>
          <w:rFonts w:ascii="Arial" w:hAnsi="Arial" w:cs="Arial"/>
          <w:sz w:val="24"/>
          <w:szCs w:val="24"/>
        </w:rPr>
      </w:pPr>
      <w:r w:rsidRPr="005B23F7">
        <w:rPr>
          <w:rFonts w:ascii="Arial" w:hAnsi="Arial" w:cs="Arial"/>
          <w:b/>
          <w:sz w:val="24"/>
          <w:szCs w:val="24"/>
        </w:rPr>
        <w:t>Εκτίμηση της δυνατότητας υποκατάστασης από την πλευρά της ζήτησης</w:t>
      </w:r>
    </w:p>
    <w:p w:rsidR="004F55CE" w:rsidRPr="005B23F7" w:rsidRDefault="004F55CE"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United</w:t>
      </w:r>
      <w:r w:rsidRPr="005B23F7">
        <w:rPr>
          <w:rFonts w:ascii="Arial" w:hAnsi="Arial" w:cs="Arial"/>
          <w:i/>
          <w:sz w:val="24"/>
          <w:szCs w:val="24"/>
        </w:rPr>
        <w:t xml:space="preserve"> </w:t>
      </w:r>
      <w:r w:rsidRPr="005B23F7">
        <w:rPr>
          <w:rFonts w:ascii="Arial" w:hAnsi="Arial" w:cs="Arial"/>
          <w:i/>
          <w:sz w:val="24"/>
          <w:szCs w:val="24"/>
          <w:lang w:val="en-US"/>
        </w:rPr>
        <w:t>Brands</w:t>
      </w:r>
      <w:r w:rsidR="00977200" w:rsidRPr="005B23F7">
        <w:rPr>
          <w:rFonts w:ascii="Arial" w:hAnsi="Arial" w:cs="Arial"/>
          <w:sz w:val="24"/>
          <w:szCs w:val="24"/>
        </w:rPr>
        <w:t xml:space="preserve"> &amp; Απόφαση </w:t>
      </w:r>
      <w:proofErr w:type="spellStart"/>
      <w:r w:rsidR="00977200" w:rsidRPr="005B23F7">
        <w:rPr>
          <w:rFonts w:ascii="Arial" w:hAnsi="Arial" w:cs="Arial"/>
          <w:i/>
          <w:sz w:val="24"/>
          <w:szCs w:val="24"/>
          <w:lang w:val="en-US"/>
        </w:rPr>
        <w:t>Hilti</w:t>
      </w:r>
      <w:proofErr w:type="spellEnd"/>
      <w:r w:rsidR="00977200" w:rsidRPr="005B23F7">
        <w:rPr>
          <w:rFonts w:ascii="Arial" w:hAnsi="Arial" w:cs="Arial"/>
          <w:sz w:val="24"/>
          <w:szCs w:val="24"/>
        </w:rPr>
        <w:t xml:space="preserve">: Η οριοθέτηση της σχετικής αγοράς βασίστηκε σε ποιοτικά κριτήρια (χαρακτηριστικά και ιδιότητες των κρινόμενων προϊόντων) </w:t>
      </w:r>
    </w:p>
    <w:p w:rsidR="004F55CE" w:rsidRPr="005B23F7" w:rsidRDefault="00977200"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Wanadoo</w:t>
      </w:r>
      <w:proofErr w:type="spellEnd"/>
      <w:r w:rsidRPr="005B23F7">
        <w:rPr>
          <w:rFonts w:ascii="Arial" w:hAnsi="Arial" w:cs="Arial"/>
          <w:sz w:val="24"/>
          <w:szCs w:val="24"/>
        </w:rPr>
        <w:t>: Η οριοθέτηση της σχετικής αγοράς βασίστηκε σε ποσοτικά κριτήρια</w:t>
      </w:r>
    </w:p>
    <w:p w:rsidR="00977200" w:rsidRPr="005B23F7" w:rsidRDefault="00977200" w:rsidP="0055297E">
      <w:pPr>
        <w:pStyle w:val="a3"/>
        <w:numPr>
          <w:ilvl w:val="1"/>
          <w:numId w:val="5"/>
        </w:numPr>
        <w:spacing w:after="0" w:line="240" w:lineRule="auto"/>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Microsoft</w:t>
      </w:r>
      <w:r w:rsidRPr="005B23F7">
        <w:rPr>
          <w:rFonts w:ascii="Arial" w:hAnsi="Arial" w:cs="Arial"/>
          <w:i/>
          <w:sz w:val="24"/>
          <w:szCs w:val="24"/>
        </w:rPr>
        <w:t xml:space="preserve"> Ι </w:t>
      </w:r>
      <w:r w:rsidRPr="005B23F7">
        <w:rPr>
          <w:rFonts w:ascii="Arial" w:hAnsi="Arial" w:cs="Arial"/>
          <w:sz w:val="24"/>
          <w:szCs w:val="24"/>
        </w:rPr>
        <w:t xml:space="preserve">&amp; Απόφαση </w:t>
      </w:r>
      <w:proofErr w:type="spellStart"/>
      <w:r w:rsidRPr="005B23F7">
        <w:rPr>
          <w:rFonts w:ascii="Arial" w:hAnsi="Arial" w:cs="Arial"/>
          <w:i/>
          <w:sz w:val="24"/>
          <w:szCs w:val="24"/>
          <w:lang w:val="en-US"/>
        </w:rPr>
        <w:t>ClearStream</w:t>
      </w:r>
      <w:proofErr w:type="spellEnd"/>
      <w:r w:rsidRPr="005B23F7">
        <w:rPr>
          <w:rFonts w:ascii="Arial" w:hAnsi="Arial" w:cs="Arial"/>
          <w:sz w:val="24"/>
          <w:szCs w:val="24"/>
        </w:rPr>
        <w:t>: Η οριοθέτηση της σχετικής αγοράς βάσει ποιοτικών κριτηρίων ενδείκνυται ιδίως σε υποθέσεις με αντικείμενο προϊόντα υψηλής τεχνολογίας και χρηματοοικονομικές υπηρεσίες.</w:t>
      </w:r>
    </w:p>
    <w:p w:rsidR="00977200" w:rsidRPr="005B23F7" w:rsidRDefault="00977200" w:rsidP="0055297E">
      <w:pPr>
        <w:pStyle w:val="a3"/>
        <w:spacing w:after="0" w:line="240" w:lineRule="auto"/>
        <w:ind w:left="1440"/>
        <w:jc w:val="both"/>
        <w:rPr>
          <w:rFonts w:ascii="Arial" w:hAnsi="Arial" w:cs="Arial"/>
          <w:sz w:val="24"/>
          <w:szCs w:val="24"/>
        </w:rPr>
      </w:pPr>
    </w:p>
    <w:p w:rsidR="00977200" w:rsidRPr="005B23F7" w:rsidRDefault="00977200" w:rsidP="0055297E">
      <w:pPr>
        <w:pStyle w:val="a3"/>
        <w:numPr>
          <w:ilvl w:val="0"/>
          <w:numId w:val="5"/>
        </w:numPr>
        <w:spacing w:after="0" w:line="240" w:lineRule="auto"/>
        <w:jc w:val="both"/>
        <w:rPr>
          <w:rFonts w:ascii="Arial" w:hAnsi="Arial" w:cs="Arial"/>
          <w:b/>
          <w:sz w:val="24"/>
          <w:szCs w:val="24"/>
        </w:rPr>
      </w:pPr>
      <w:r w:rsidRPr="005B23F7">
        <w:rPr>
          <w:rFonts w:ascii="Arial" w:hAnsi="Arial" w:cs="Arial"/>
          <w:b/>
          <w:sz w:val="24"/>
          <w:szCs w:val="24"/>
        </w:rPr>
        <w:t>Εκτίμηση της δυνατότητας υποκατάστασης από την πλευρά της προσφοράς</w:t>
      </w:r>
    </w:p>
    <w:p w:rsidR="00D06E13" w:rsidRPr="006A39F6" w:rsidRDefault="00D06E13" w:rsidP="0055297E">
      <w:pPr>
        <w:pStyle w:val="a3"/>
        <w:numPr>
          <w:ilvl w:val="1"/>
          <w:numId w:val="5"/>
        </w:numPr>
        <w:spacing w:after="0" w:line="240" w:lineRule="auto"/>
        <w:jc w:val="both"/>
        <w:rPr>
          <w:rFonts w:ascii="Arial" w:hAnsi="Arial" w:cs="Arial"/>
          <w:b/>
          <w:sz w:val="24"/>
          <w:szCs w:val="24"/>
        </w:rPr>
      </w:pPr>
      <w:r w:rsidRPr="005B23F7">
        <w:rPr>
          <w:rFonts w:ascii="Arial" w:hAnsi="Arial" w:cs="Arial"/>
          <w:sz w:val="24"/>
          <w:szCs w:val="24"/>
        </w:rPr>
        <w:t>Απόφαση</w:t>
      </w:r>
      <w:r w:rsidRPr="006A39F6">
        <w:rPr>
          <w:rFonts w:ascii="Arial" w:hAnsi="Arial" w:cs="Arial"/>
          <w:sz w:val="24"/>
          <w:szCs w:val="24"/>
        </w:rPr>
        <w:t xml:space="preserve"> </w:t>
      </w:r>
      <w:r w:rsidRPr="005B23F7">
        <w:rPr>
          <w:rFonts w:ascii="Arial" w:hAnsi="Arial" w:cs="Arial"/>
          <w:i/>
          <w:sz w:val="24"/>
          <w:szCs w:val="24"/>
          <w:lang w:val="en-US"/>
        </w:rPr>
        <w:t>Continental</w:t>
      </w:r>
      <w:r w:rsidRPr="006A39F6">
        <w:rPr>
          <w:rFonts w:ascii="Arial" w:hAnsi="Arial" w:cs="Arial"/>
          <w:i/>
          <w:sz w:val="24"/>
          <w:szCs w:val="24"/>
        </w:rPr>
        <w:t xml:space="preserve"> </w:t>
      </w:r>
      <w:r w:rsidRPr="005B23F7">
        <w:rPr>
          <w:rFonts w:ascii="Arial" w:hAnsi="Arial" w:cs="Arial"/>
          <w:i/>
          <w:sz w:val="24"/>
          <w:szCs w:val="24"/>
          <w:lang w:val="en-US"/>
        </w:rPr>
        <w:t>Can</w:t>
      </w:r>
      <w:r w:rsidRPr="006A39F6">
        <w:rPr>
          <w:rFonts w:ascii="Arial" w:hAnsi="Arial" w:cs="Arial"/>
          <w:sz w:val="24"/>
          <w:szCs w:val="24"/>
        </w:rPr>
        <w:t xml:space="preserve">, </w:t>
      </w:r>
      <w:r w:rsidRPr="005B23F7">
        <w:rPr>
          <w:rFonts w:ascii="Arial" w:hAnsi="Arial" w:cs="Arial"/>
          <w:sz w:val="24"/>
          <w:szCs w:val="24"/>
        </w:rPr>
        <w:t>Απόφαση</w:t>
      </w:r>
      <w:r w:rsidRPr="006A39F6">
        <w:rPr>
          <w:rFonts w:ascii="Arial" w:hAnsi="Arial" w:cs="Arial"/>
          <w:sz w:val="24"/>
          <w:szCs w:val="24"/>
        </w:rPr>
        <w:t xml:space="preserve"> </w:t>
      </w:r>
      <w:r w:rsidRPr="005B23F7">
        <w:rPr>
          <w:rFonts w:ascii="Arial" w:hAnsi="Arial" w:cs="Arial"/>
          <w:i/>
          <w:sz w:val="24"/>
          <w:szCs w:val="24"/>
          <w:lang w:val="en-US"/>
        </w:rPr>
        <w:t>Michelin</w:t>
      </w:r>
      <w:r w:rsidRPr="006A39F6">
        <w:rPr>
          <w:rFonts w:ascii="Arial" w:hAnsi="Arial" w:cs="Arial"/>
          <w:i/>
          <w:sz w:val="24"/>
          <w:szCs w:val="24"/>
        </w:rPr>
        <w:t xml:space="preserve"> </w:t>
      </w:r>
      <w:r w:rsidRPr="005B23F7">
        <w:rPr>
          <w:rFonts w:ascii="Arial" w:hAnsi="Arial" w:cs="Arial"/>
          <w:i/>
          <w:sz w:val="24"/>
          <w:szCs w:val="24"/>
          <w:lang w:val="en-US"/>
        </w:rPr>
        <w:t>I</w:t>
      </w:r>
      <w:r w:rsidRPr="006A39F6">
        <w:rPr>
          <w:rFonts w:ascii="Arial" w:hAnsi="Arial" w:cs="Arial"/>
          <w:sz w:val="24"/>
          <w:szCs w:val="24"/>
        </w:rPr>
        <w:t xml:space="preserve"> &amp; </w:t>
      </w:r>
      <w:r w:rsidRPr="005B23F7">
        <w:rPr>
          <w:rFonts w:ascii="Arial" w:hAnsi="Arial" w:cs="Arial"/>
          <w:sz w:val="24"/>
          <w:szCs w:val="24"/>
        </w:rPr>
        <w:t>Απόφαση</w:t>
      </w:r>
      <w:r w:rsidRPr="006A39F6">
        <w:rPr>
          <w:rFonts w:ascii="Arial" w:hAnsi="Arial" w:cs="Arial"/>
          <w:sz w:val="24"/>
          <w:szCs w:val="24"/>
        </w:rPr>
        <w:t xml:space="preserve"> </w:t>
      </w:r>
      <w:r w:rsidRPr="005B23F7">
        <w:rPr>
          <w:rFonts w:ascii="Arial" w:hAnsi="Arial" w:cs="Arial"/>
          <w:i/>
          <w:sz w:val="24"/>
          <w:szCs w:val="24"/>
          <w:lang w:val="en-US"/>
        </w:rPr>
        <w:t>Kish</w:t>
      </w:r>
      <w:r w:rsidRPr="006A39F6">
        <w:rPr>
          <w:rFonts w:ascii="Arial" w:hAnsi="Arial" w:cs="Arial"/>
          <w:i/>
          <w:sz w:val="24"/>
          <w:szCs w:val="24"/>
        </w:rPr>
        <w:t xml:space="preserve"> </w:t>
      </w:r>
      <w:r w:rsidRPr="005B23F7">
        <w:rPr>
          <w:rFonts w:ascii="Arial" w:hAnsi="Arial" w:cs="Arial"/>
          <w:i/>
          <w:sz w:val="24"/>
          <w:szCs w:val="24"/>
          <w:lang w:val="en-US"/>
        </w:rPr>
        <w:t>Glass</w:t>
      </w:r>
      <w:r w:rsidRPr="006A39F6">
        <w:rPr>
          <w:rFonts w:ascii="Arial" w:hAnsi="Arial" w:cs="Arial"/>
          <w:sz w:val="24"/>
          <w:szCs w:val="24"/>
        </w:rPr>
        <w:t xml:space="preserve">: </w:t>
      </w:r>
    </w:p>
    <w:p w:rsidR="00D06E13" w:rsidRPr="005B23F7" w:rsidRDefault="00D06E13" w:rsidP="0055297E">
      <w:pPr>
        <w:pStyle w:val="a3"/>
        <w:numPr>
          <w:ilvl w:val="2"/>
          <w:numId w:val="5"/>
        </w:numPr>
        <w:spacing w:after="0" w:line="240" w:lineRule="auto"/>
        <w:jc w:val="both"/>
        <w:rPr>
          <w:rFonts w:ascii="Arial" w:hAnsi="Arial" w:cs="Arial"/>
          <w:b/>
          <w:sz w:val="24"/>
          <w:szCs w:val="24"/>
        </w:rPr>
      </w:pPr>
      <w:r w:rsidRPr="005B23F7">
        <w:rPr>
          <w:rFonts w:ascii="Arial" w:hAnsi="Arial" w:cs="Arial"/>
          <w:sz w:val="24"/>
          <w:szCs w:val="24"/>
        </w:rPr>
        <w:t>Η δυνατότητα υποκατάστασης από την πλευρά της προσφοράς πρέπει να λαμβάνεται υπόψη κατά την οριοθέτηση της σχετικής αγοράς</w:t>
      </w:r>
    </w:p>
    <w:p w:rsidR="00D06E13" w:rsidRPr="005B23F7" w:rsidRDefault="00D06E13" w:rsidP="0055297E">
      <w:pPr>
        <w:pStyle w:val="a3"/>
        <w:numPr>
          <w:ilvl w:val="2"/>
          <w:numId w:val="5"/>
        </w:numPr>
        <w:spacing w:after="0" w:line="240" w:lineRule="auto"/>
        <w:jc w:val="both"/>
        <w:rPr>
          <w:rFonts w:ascii="Arial" w:hAnsi="Arial" w:cs="Arial"/>
          <w:b/>
          <w:sz w:val="24"/>
          <w:szCs w:val="24"/>
        </w:rPr>
      </w:pPr>
      <w:r w:rsidRPr="005B23F7">
        <w:rPr>
          <w:rFonts w:ascii="Arial" w:hAnsi="Arial" w:cs="Arial"/>
          <w:sz w:val="24"/>
          <w:szCs w:val="24"/>
        </w:rPr>
        <w:t>Έλλειψη ελαστικότητας προσφοράς = Ύπαρξη διαφορετικών σχετικών αγορών</w:t>
      </w:r>
    </w:p>
    <w:p w:rsidR="00D06E13" w:rsidRPr="005B23F7" w:rsidRDefault="00D06E13" w:rsidP="0055297E">
      <w:pPr>
        <w:pStyle w:val="a3"/>
        <w:spacing w:after="0" w:line="240" w:lineRule="auto"/>
        <w:ind w:left="2160"/>
        <w:jc w:val="both"/>
        <w:rPr>
          <w:rFonts w:ascii="Arial" w:hAnsi="Arial" w:cs="Arial"/>
          <w:b/>
          <w:sz w:val="24"/>
          <w:szCs w:val="24"/>
        </w:rPr>
      </w:pPr>
    </w:p>
    <w:p w:rsidR="00977200" w:rsidRPr="005B23F7" w:rsidRDefault="00D06E13" w:rsidP="0055297E">
      <w:pPr>
        <w:spacing w:after="0" w:line="240" w:lineRule="auto"/>
        <w:jc w:val="both"/>
        <w:rPr>
          <w:rFonts w:ascii="Arial" w:hAnsi="Arial" w:cs="Arial"/>
          <w:b/>
          <w:sz w:val="24"/>
          <w:szCs w:val="24"/>
        </w:rPr>
      </w:pPr>
      <w:r w:rsidRPr="005B23F7">
        <w:rPr>
          <w:rFonts w:ascii="Arial" w:hAnsi="Arial" w:cs="Arial"/>
          <w:b/>
          <w:sz w:val="24"/>
          <w:szCs w:val="24"/>
        </w:rPr>
        <w:t>β) Οριοθέτηση της σχετικής γεωγραφικής αγοράς</w:t>
      </w:r>
    </w:p>
    <w:p w:rsidR="00D06E13" w:rsidRPr="005B23F7" w:rsidRDefault="00D06E13" w:rsidP="0055297E">
      <w:pPr>
        <w:pStyle w:val="a3"/>
        <w:numPr>
          <w:ilvl w:val="0"/>
          <w:numId w:val="8"/>
        </w:numPr>
        <w:spacing w:after="0" w:line="240" w:lineRule="auto"/>
        <w:ind w:left="709"/>
        <w:jc w:val="both"/>
        <w:rPr>
          <w:rFonts w:ascii="Arial" w:hAnsi="Arial" w:cs="Arial"/>
          <w:sz w:val="24"/>
          <w:szCs w:val="24"/>
        </w:rPr>
      </w:pPr>
      <w:r w:rsidRPr="005B23F7">
        <w:rPr>
          <w:rFonts w:ascii="Arial" w:hAnsi="Arial" w:cs="Arial"/>
          <w:b/>
          <w:sz w:val="24"/>
          <w:szCs w:val="24"/>
        </w:rPr>
        <w:t>Α</w:t>
      </w:r>
      <w:r w:rsidR="005B23F7">
        <w:rPr>
          <w:rFonts w:ascii="Arial" w:hAnsi="Arial" w:cs="Arial"/>
          <w:b/>
          <w:sz w:val="24"/>
          <w:szCs w:val="24"/>
        </w:rPr>
        <w:t>ποφάσεις</w:t>
      </w:r>
      <w:r w:rsidRPr="005B23F7">
        <w:rPr>
          <w:rFonts w:ascii="Arial" w:hAnsi="Arial" w:cs="Arial"/>
          <w:b/>
          <w:sz w:val="24"/>
          <w:szCs w:val="24"/>
        </w:rPr>
        <w:t xml:space="preserve"> </w:t>
      </w:r>
      <w:r w:rsidRPr="005B23F7">
        <w:rPr>
          <w:rFonts w:ascii="Arial" w:hAnsi="Arial" w:cs="Arial"/>
          <w:b/>
          <w:i/>
          <w:sz w:val="24"/>
          <w:szCs w:val="24"/>
          <w:lang w:val="fr-FR"/>
        </w:rPr>
        <w:t>United</w:t>
      </w:r>
      <w:r w:rsidRPr="005B23F7">
        <w:rPr>
          <w:rFonts w:ascii="Arial" w:hAnsi="Arial" w:cs="Arial"/>
          <w:b/>
          <w:i/>
          <w:sz w:val="24"/>
          <w:szCs w:val="24"/>
        </w:rPr>
        <w:t xml:space="preserve"> </w:t>
      </w:r>
      <w:r w:rsidRPr="005B23F7">
        <w:rPr>
          <w:rFonts w:ascii="Arial" w:hAnsi="Arial" w:cs="Arial"/>
          <w:b/>
          <w:i/>
          <w:sz w:val="24"/>
          <w:szCs w:val="24"/>
          <w:lang w:val="fr-FR"/>
        </w:rPr>
        <w:t>Brands</w:t>
      </w:r>
      <w:r w:rsidRPr="005B23F7">
        <w:rPr>
          <w:rFonts w:ascii="Arial" w:hAnsi="Arial" w:cs="Arial"/>
          <w:b/>
          <w:sz w:val="24"/>
          <w:szCs w:val="24"/>
        </w:rPr>
        <w:t>,</w:t>
      </w:r>
      <w:r w:rsidRPr="005B23F7">
        <w:rPr>
          <w:rFonts w:ascii="Arial" w:hAnsi="Arial" w:cs="Arial"/>
          <w:b/>
          <w:i/>
          <w:sz w:val="24"/>
          <w:szCs w:val="24"/>
        </w:rPr>
        <w:t xml:space="preserve"> </w:t>
      </w:r>
      <w:r w:rsidRPr="005B23F7">
        <w:rPr>
          <w:rFonts w:ascii="Arial" w:hAnsi="Arial" w:cs="Arial"/>
          <w:b/>
          <w:i/>
          <w:sz w:val="24"/>
          <w:szCs w:val="24"/>
          <w:lang w:val="fr-FR"/>
        </w:rPr>
        <w:t>A</w:t>
      </w:r>
      <w:r w:rsidRPr="005B23F7">
        <w:rPr>
          <w:rFonts w:ascii="Arial" w:hAnsi="Arial" w:cs="Arial"/>
          <w:b/>
          <w:i/>
          <w:sz w:val="24"/>
          <w:szCs w:val="24"/>
        </w:rPr>
        <w:t>é</w:t>
      </w:r>
      <w:proofErr w:type="spellStart"/>
      <w:r w:rsidRPr="005B23F7">
        <w:rPr>
          <w:rFonts w:ascii="Arial" w:hAnsi="Arial" w:cs="Arial"/>
          <w:b/>
          <w:i/>
          <w:sz w:val="24"/>
          <w:szCs w:val="24"/>
          <w:lang w:val="fr-FR"/>
        </w:rPr>
        <w:t>roport</w:t>
      </w:r>
      <w:proofErr w:type="spellEnd"/>
      <w:r w:rsidRPr="005B23F7">
        <w:rPr>
          <w:rFonts w:ascii="Arial" w:hAnsi="Arial" w:cs="Arial"/>
          <w:b/>
          <w:i/>
          <w:sz w:val="24"/>
          <w:szCs w:val="24"/>
        </w:rPr>
        <w:t xml:space="preserve"> </w:t>
      </w:r>
      <w:r w:rsidRPr="005B23F7">
        <w:rPr>
          <w:rFonts w:ascii="Arial" w:hAnsi="Arial" w:cs="Arial"/>
          <w:b/>
          <w:i/>
          <w:sz w:val="24"/>
          <w:szCs w:val="24"/>
          <w:lang w:val="fr-FR"/>
        </w:rPr>
        <w:t>de</w:t>
      </w:r>
      <w:r w:rsidRPr="005B23F7">
        <w:rPr>
          <w:rFonts w:ascii="Arial" w:hAnsi="Arial" w:cs="Arial"/>
          <w:b/>
          <w:i/>
          <w:sz w:val="24"/>
          <w:szCs w:val="24"/>
        </w:rPr>
        <w:t xml:space="preserve"> </w:t>
      </w:r>
      <w:r w:rsidRPr="005B23F7">
        <w:rPr>
          <w:rFonts w:ascii="Arial" w:hAnsi="Arial" w:cs="Arial"/>
          <w:b/>
          <w:i/>
          <w:sz w:val="24"/>
          <w:szCs w:val="24"/>
          <w:lang w:val="fr-FR"/>
        </w:rPr>
        <w:t>Paris</w:t>
      </w:r>
      <w:r w:rsidRPr="005B23F7">
        <w:rPr>
          <w:rFonts w:ascii="Arial" w:hAnsi="Arial" w:cs="Arial"/>
          <w:b/>
          <w:i/>
          <w:sz w:val="24"/>
          <w:szCs w:val="24"/>
        </w:rPr>
        <w:t xml:space="preserve"> </w:t>
      </w:r>
      <w:r w:rsidRPr="005B23F7">
        <w:rPr>
          <w:rFonts w:ascii="Arial" w:hAnsi="Arial" w:cs="Arial"/>
          <w:b/>
          <w:sz w:val="24"/>
          <w:szCs w:val="24"/>
        </w:rPr>
        <w:t xml:space="preserve">&amp; </w:t>
      </w:r>
      <w:r w:rsidRPr="005B23F7">
        <w:rPr>
          <w:rFonts w:ascii="Arial" w:hAnsi="Arial" w:cs="Arial"/>
          <w:b/>
          <w:i/>
          <w:sz w:val="24"/>
          <w:szCs w:val="24"/>
          <w:lang w:val="en-US"/>
        </w:rPr>
        <w:t>Microsoft</w:t>
      </w:r>
      <w:r w:rsidRPr="005B23F7">
        <w:rPr>
          <w:rFonts w:ascii="Arial" w:hAnsi="Arial" w:cs="Arial"/>
          <w:b/>
          <w:i/>
          <w:sz w:val="24"/>
          <w:szCs w:val="24"/>
        </w:rPr>
        <w:t xml:space="preserve"> </w:t>
      </w:r>
      <w:r w:rsidRPr="005B23F7">
        <w:rPr>
          <w:rFonts w:ascii="Arial" w:hAnsi="Arial" w:cs="Arial"/>
          <w:b/>
          <w:i/>
          <w:sz w:val="24"/>
          <w:szCs w:val="24"/>
          <w:lang w:val="en-US"/>
        </w:rPr>
        <w:t>I</w:t>
      </w:r>
      <w:r w:rsidRPr="005B23F7">
        <w:rPr>
          <w:rFonts w:ascii="Arial" w:hAnsi="Arial" w:cs="Arial"/>
          <w:b/>
          <w:sz w:val="24"/>
          <w:szCs w:val="24"/>
        </w:rPr>
        <w:t>:</w:t>
      </w:r>
      <w:r w:rsidRPr="005B23F7">
        <w:rPr>
          <w:rFonts w:ascii="Arial" w:hAnsi="Arial" w:cs="Arial"/>
          <w:sz w:val="24"/>
          <w:szCs w:val="24"/>
        </w:rPr>
        <w:t xml:space="preserve"> τα έξοδα μεταφοράς και η εφοδιαστική αλυσίδα συνιστούν τις κύριες οικονομικές παραμέτρους που λαμβάνονται υπόψη για την οριοθέτηση της σχετικής γεωγραφικής αγοράς</w:t>
      </w:r>
    </w:p>
    <w:p w:rsidR="00D06E13" w:rsidRPr="005B23F7" w:rsidRDefault="00D06E13" w:rsidP="0055297E">
      <w:pPr>
        <w:pStyle w:val="a3"/>
        <w:spacing w:after="0" w:line="240" w:lineRule="auto"/>
        <w:ind w:left="1418"/>
        <w:jc w:val="both"/>
        <w:rPr>
          <w:rFonts w:ascii="Arial" w:hAnsi="Arial" w:cs="Arial"/>
          <w:sz w:val="24"/>
          <w:szCs w:val="24"/>
        </w:rPr>
      </w:pPr>
    </w:p>
    <w:p w:rsidR="00DB5E21" w:rsidRPr="005B23F7" w:rsidRDefault="00DB5E21" w:rsidP="0055297E">
      <w:pPr>
        <w:spacing w:line="240" w:lineRule="auto"/>
        <w:rPr>
          <w:rFonts w:ascii="Arial" w:hAnsi="Arial" w:cs="Arial"/>
          <w:b/>
          <w:sz w:val="24"/>
          <w:szCs w:val="24"/>
        </w:rPr>
      </w:pPr>
      <w:r w:rsidRPr="005B23F7">
        <w:rPr>
          <w:rFonts w:ascii="Arial" w:hAnsi="Arial" w:cs="Arial"/>
          <w:b/>
          <w:sz w:val="24"/>
          <w:szCs w:val="24"/>
        </w:rPr>
        <w:br w:type="page"/>
      </w:r>
    </w:p>
    <w:p w:rsidR="00D06E13" w:rsidRPr="005B23F7" w:rsidRDefault="00D06E13" w:rsidP="0055297E">
      <w:pPr>
        <w:spacing w:after="0" w:line="240" w:lineRule="auto"/>
        <w:jc w:val="both"/>
        <w:rPr>
          <w:rFonts w:ascii="Arial" w:hAnsi="Arial" w:cs="Arial"/>
          <w:b/>
          <w:sz w:val="24"/>
          <w:szCs w:val="24"/>
        </w:rPr>
      </w:pPr>
      <w:r w:rsidRPr="005B23F7">
        <w:rPr>
          <w:rFonts w:ascii="Arial" w:hAnsi="Arial" w:cs="Arial"/>
          <w:b/>
          <w:sz w:val="24"/>
          <w:szCs w:val="24"/>
        </w:rPr>
        <w:lastRenderedPageBreak/>
        <w:t>3. Διαπίστωση δεσπόζουσας θέσης</w:t>
      </w:r>
    </w:p>
    <w:p w:rsidR="00DB5E21" w:rsidRPr="005B23F7" w:rsidRDefault="00DB5E21" w:rsidP="0055297E">
      <w:pPr>
        <w:spacing w:after="0" w:line="240" w:lineRule="auto"/>
        <w:jc w:val="both"/>
        <w:rPr>
          <w:rFonts w:ascii="Arial" w:hAnsi="Arial" w:cs="Arial"/>
          <w:b/>
          <w:sz w:val="24"/>
          <w:szCs w:val="24"/>
        </w:rPr>
      </w:pPr>
    </w:p>
    <w:p w:rsidR="00DB5E21" w:rsidRPr="005B23F7" w:rsidRDefault="00DB5E21" w:rsidP="0055297E">
      <w:pPr>
        <w:pStyle w:val="a3"/>
        <w:numPr>
          <w:ilvl w:val="0"/>
          <w:numId w:val="8"/>
        </w:numPr>
        <w:spacing w:after="0" w:line="240" w:lineRule="auto"/>
        <w:ind w:left="709"/>
        <w:jc w:val="both"/>
        <w:rPr>
          <w:rFonts w:ascii="Arial" w:hAnsi="Arial" w:cs="Arial"/>
          <w:b/>
          <w:sz w:val="24"/>
          <w:szCs w:val="24"/>
        </w:rPr>
      </w:pPr>
      <w:r w:rsidRPr="005B23F7">
        <w:rPr>
          <w:rFonts w:ascii="Arial" w:hAnsi="Arial" w:cs="Arial"/>
          <w:b/>
          <w:sz w:val="24"/>
          <w:szCs w:val="24"/>
        </w:rPr>
        <w:t xml:space="preserve">Απόφαση </w:t>
      </w:r>
      <w:r w:rsidRPr="005B23F7">
        <w:rPr>
          <w:rFonts w:ascii="Arial" w:hAnsi="Arial" w:cs="Arial"/>
          <w:b/>
          <w:i/>
          <w:sz w:val="24"/>
          <w:szCs w:val="24"/>
          <w:lang w:val="en-US"/>
        </w:rPr>
        <w:t>Hoffmann</w:t>
      </w:r>
      <w:r w:rsidRPr="005B23F7">
        <w:rPr>
          <w:rFonts w:ascii="Arial" w:hAnsi="Arial" w:cs="Arial"/>
          <w:b/>
          <w:i/>
          <w:sz w:val="24"/>
          <w:szCs w:val="24"/>
        </w:rPr>
        <w:t>-</w:t>
      </w:r>
      <w:r w:rsidRPr="005B23F7">
        <w:rPr>
          <w:rFonts w:ascii="Arial" w:hAnsi="Arial" w:cs="Arial"/>
          <w:b/>
          <w:i/>
          <w:sz w:val="24"/>
          <w:szCs w:val="24"/>
          <w:lang w:val="en-US"/>
        </w:rPr>
        <w:t>La</w:t>
      </w:r>
      <w:r w:rsidRPr="005B23F7">
        <w:rPr>
          <w:rFonts w:ascii="Arial" w:hAnsi="Arial" w:cs="Arial"/>
          <w:b/>
          <w:i/>
          <w:sz w:val="24"/>
          <w:szCs w:val="24"/>
        </w:rPr>
        <w:t xml:space="preserve"> </w:t>
      </w:r>
      <w:r w:rsidRPr="005B23F7">
        <w:rPr>
          <w:rFonts w:ascii="Arial" w:hAnsi="Arial" w:cs="Arial"/>
          <w:b/>
          <w:i/>
          <w:sz w:val="24"/>
          <w:szCs w:val="24"/>
          <w:lang w:val="en-US"/>
        </w:rPr>
        <w:t>Roche</w:t>
      </w:r>
      <w:r w:rsidRPr="005B23F7">
        <w:rPr>
          <w:rFonts w:ascii="Arial" w:hAnsi="Arial" w:cs="Arial"/>
          <w:b/>
          <w:sz w:val="24"/>
          <w:szCs w:val="24"/>
        </w:rPr>
        <w:t xml:space="preserve"> (έννοια δεσπόζουσας θέσης):</w:t>
      </w:r>
      <w:r w:rsidRPr="005B23F7">
        <w:rPr>
          <w:rFonts w:ascii="Arial" w:hAnsi="Arial" w:cs="Arial"/>
          <w:sz w:val="24"/>
          <w:szCs w:val="24"/>
        </w:rPr>
        <w:t xml:space="preserve"> Η δεσπόζουσα θέση «αφορά την κατάσταση οικονομικής ισχύος μιας επιχειρήσεως, που της δίνει την εξουσία να εμποδίζει τη διατήρηση αποτελεσματικού ανταγωνισμού στην εν λόγω αγορά, παρέχοντας της τη δυνατότητα να συμπεριφέρεται σε σημαντική έκταση ανεξάρτητα έναντι των ανταγωνιστών, των πελατών της και, τελικά, των καταναλωτών.»</w:t>
      </w:r>
    </w:p>
    <w:p w:rsidR="00DB5E21" w:rsidRPr="005B23F7" w:rsidRDefault="00DB5E21" w:rsidP="0055297E">
      <w:pPr>
        <w:pStyle w:val="a3"/>
        <w:numPr>
          <w:ilvl w:val="0"/>
          <w:numId w:val="8"/>
        </w:numPr>
        <w:spacing w:after="0" w:line="240" w:lineRule="auto"/>
        <w:ind w:left="709"/>
        <w:jc w:val="both"/>
        <w:rPr>
          <w:rFonts w:ascii="Arial" w:hAnsi="Arial" w:cs="Arial"/>
          <w:b/>
          <w:sz w:val="24"/>
          <w:szCs w:val="24"/>
        </w:rPr>
      </w:pPr>
      <w:r w:rsidRPr="005B23F7">
        <w:rPr>
          <w:rFonts w:ascii="Arial" w:hAnsi="Arial" w:cs="Arial"/>
          <w:b/>
          <w:sz w:val="24"/>
          <w:szCs w:val="24"/>
        </w:rPr>
        <w:t xml:space="preserve">Απόφαση </w:t>
      </w:r>
      <w:proofErr w:type="spellStart"/>
      <w:r w:rsidRPr="005B23F7">
        <w:rPr>
          <w:rFonts w:ascii="Arial" w:hAnsi="Arial" w:cs="Arial"/>
          <w:b/>
          <w:i/>
          <w:sz w:val="24"/>
          <w:szCs w:val="24"/>
          <w:lang w:val="en-US"/>
        </w:rPr>
        <w:t>Gottrup</w:t>
      </w:r>
      <w:proofErr w:type="spellEnd"/>
      <w:r w:rsidRPr="005B23F7">
        <w:rPr>
          <w:rFonts w:ascii="Arial" w:hAnsi="Arial" w:cs="Arial"/>
          <w:b/>
          <w:i/>
          <w:sz w:val="24"/>
          <w:szCs w:val="24"/>
        </w:rPr>
        <w:t>-</w:t>
      </w:r>
      <w:proofErr w:type="spellStart"/>
      <w:r w:rsidRPr="005B23F7">
        <w:rPr>
          <w:rFonts w:ascii="Arial" w:hAnsi="Arial" w:cs="Arial"/>
          <w:b/>
          <w:i/>
          <w:sz w:val="24"/>
          <w:szCs w:val="24"/>
          <w:lang w:val="en-US"/>
        </w:rPr>
        <w:t>Klim</w:t>
      </w:r>
      <w:proofErr w:type="spellEnd"/>
      <w:r w:rsidRPr="005B23F7">
        <w:rPr>
          <w:rFonts w:ascii="Arial" w:hAnsi="Arial" w:cs="Arial"/>
          <w:b/>
          <w:sz w:val="24"/>
          <w:szCs w:val="24"/>
        </w:rPr>
        <w:t>:</w:t>
      </w:r>
      <w:r w:rsidRPr="005B23F7">
        <w:rPr>
          <w:rFonts w:ascii="Arial" w:hAnsi="Arial" w:cs="Arial"/>
          <w:sz w:val="24"/>
          <w:szCs w:val="24"/>
        </w:rPr>
        <w:t xml:space="preserve"> «Η ύπαρξη δεσπόζουσας θέσεως προκύπτει εν γένει από τη συνδρομή πολλών παραγόντων, οι οποίοι, λαμβανόμενοι μεμονωμένα, δεν θα ήταν κατ' ανάγκη καθοριστικοί.»</w:t>
      </w:r>
    </w:p>
    <w:p w:rsidR="00DB5E21" w:rsidRPr="005B23F7" w:rsidRDefault="00DB5E21" w:rsidP="0055297E">
      <w:pPr>
        <w:pStyle w:val="a3"/>
        <w:numPr>
          <w:ilvl w:val="0"/>
          <w:numId w:val="8"/>
        </w:numPr>
        <w:spacing w:after="0" w:line="240" w:lineRule="auto"/>
        <w:ind w:left="709"/>
        <w:jc w:val="both"/>
        <w:rPr>
          <w:rFonts w:ascii="Arial" w:hAnsi="Arial" w:cs="Arial"/>
          <w:b/>
          <w:sz w:val="24"/>
          <w:szCs w:val="24"/>
        </w:rPr>
      </w:pPr>
      <w:r w:rsidRPr="005B23F7">
        <w:rPr>
          <w:rFonts w:ascii="Arial" w:hAnsi="Arial" w:cs="Arial"/>
          <w:b/>
          <w:sz w:val="24"/>
          <w:szCs w:val="24"/>
        </w:rPr>
        <w:t>Παράγοντες που λαμβάνονται υπόψη για τη διαπίστωση της κατοχής δεσπόζουσας θέσης:</w:t>
      </w:r>
    </w:p>
    <w:p w:rsidR="00DB5E21" w:rsidRPr="005B23F7" w:rsidRDefault="00DB5E21" w:rsidP="0055297E">
      <w:pPr>
        <w:pStyle w:val="a3"/>
        <w:numPr>
          <w:ilvl w:val="1"/>
          <w:numId w:val="8"/>
        </w:numPr>
        <w:spacing w:after="0" w:line="240" w:lineRule="auto"/>
        <w:ind w:left="1418"/>
        <w:jc w:val="both"/>
        <w:rPr>
          <w:rFonts w:ascii="Arial" w:hAnsi="Arial" w:cs="Arial"/>
          <w:b/>
          <w:sz w:val="24"/>
          <w:szCs w:val="24"/>
        </w:rPr>
      </w:pPr>
      <w:r w:rsidRPr="005B23F7">
        <w:rPr>
          <w:rFonts w:ascii="Arial" w:hAnsi="Arial" w:cs="Arial"/>
          <w:sz w:val="24"/>
          <w:szCs w:val="24"/>
        </w:rPr>
        <w:t>Μερίδιο αγοράς της κρινόμενης επιχείρησης</w:t>
      </w:r>
    </w:p>
    <w:p w:rsidR="00DB5E21" w:rsidRPr="005B23F7" w:rsidRDefault="00DB5E21" w:rsidP="0055297E">
      <w:pPr>
        <w:pStyle w:val="a3"/>
        <w:numPr>
          <w:ilvl w:val="1"/>
          <w:numId w:val="8"/>
        </w:numPr>
        <w:spacing w:after="0" w:line="240" w:lineRule="auto"/>
        <w:ind w:left="1418"/>
        <w:jc w:val="both"/>
        <w:rPr>
          <w:rFonts w:ascii="Arial" w:hAnsi="Arial" w:cs="Arial"/>
          <w:sz w:val="24"/>
          <w:szCs w:val="24"/>
        </w:rPr>
      </w:pPr>
      <w:r w:rsidRPr="005B23F7">
        <w:rPr>
          <w:rFonts w:ascii="Arial" w:hAnsi="Arial" w:cs="Arial"/>
          <w:sz w:val="24"/>
          <w:szCs w:val="24"/>
        </w:rPr>
        <w:t xml:space="preserve">Φραγμοί εισόδου </w:t>
      </w:r>
      <w:r w:rsidR="00D00055" w:rsidRPr="005B23F7">
        <w:rPr>
          <w:rFonts w:ascii="Arial" w:hAnsi="Arial" w:cs="Arial"/>
          <w:sz w:val="24"/>
          <w:szCs w:val="24"/>
        </w:rPr>
        <w:t>στην προσδιορισθείσα σχετική αγορά</w:t>
      </w:r>
    </w:p>
    <w:p w:rsidR="00DB5E21" w:rsidRPr="005B23F7" w:rsidRDefault="00DB5E21" w:rsidP="0055297E">
      <w:pPr>
        <w:pStyle w:val="a3"/>
        <w:numPr>
          <w:ilvl w:val="1"/>
          <w:numId w:val="8"/>
        </w:numPr>
        <w:spacing w:after="0" w:line="240" w:lineRule="auto"/>
        <w:ind w:left="1418"/>
        <w:jc w:val="both"/>
        <w:rPr>
          <w:rFonts w:ascii="Arial" w:hAnsi="Arial" w:cs="Arial"/>
          <w:sz w:val="24"/>
          <w:szCs w:val="24"/>
        </w:rPr>
      </w:pPr>
      <w:r w:rsidRPr="005B23F7">
        <w:rPr>
          <w:rFonts w:ascii="Arial" w:hAnsi="Arial" w:cs="Arial"/>
          <w:sz w:val="24"/>
          <w:szCs w:val="24"/>
        </w:rPr>
        <w:t>Τεχνολογική υπεροχή της κρινόμενης επιχείρησης</w:t>
      </w:r>
    </w:p>
    <w:p w:rsidR="00D00055" w:rsidRPr="005B23F7" w:rsidRDefault="00D00055" w:rsidP="0055297E">
      <w:pPr>
        <w:pStyle w:val="a3"/>
        <w:numPr>
          <w:ilvl w:val="1"/>
          <w:numId w:val="8"/>
        </w:numPr>
        <w:spacing w:after="0" w:line="240" w:lineRule="auto"/>
        <w:ind w:left="1418"/>
        <w:jc w:val="both"/>
        <w:rPr>
          <w:rFonts w:ascii="Arial" w:hAnsi="Arial" w:cs="Arial"/>
          <w:sz w:val="24"/>
          <w:szCs w:val="24"/>
        </w:rPr>
      </w:pPr>
      <w:r w:rsidRPr="005B23F7">
        <w:rPr>
          <w:rFonts w:ascii="Arial" w:hAnsi="Arial" w:cs="Arial"/>
          <w:sz w:val="24"/>
          <w:szCs w:val="24"/>
        </w:rPr>
        <w:t>Ύπαρξη ευρέος δικτύου πωλήσεων της κρινόμενης επιχείρησης</w:t>
      </w:r>
    </w:p>
    <w:p w:rsidR="00D00055" w:rsidRPr="005B23F7" w:rsidRDefault="00D00055" w:rsidP="0055297E">
      <w:pPr>
        <w:pStyle w:val="a3"/>
        <w:numPr>
          <w:ilvl w:val="1"/>
          <w:numId w:val="8"/>
        </w:numPr>
        <w:spacing w:after="0" w:line="240" w:lineRule="auto"/>
        <w:ind w:left="1418"/>
        <w:jc w:val="both"/>
        <w:rPr>
          <w:rFonts w:ascii="Arial" w:hAnsi="Arial" w:cs="Arial"/>
          <w:sz w:val="24"/>
          <w:szCs w:val="24"/>
        </w:rPr>
      </w:pPr>
      <w:r w:rsidRPr="005B23F7">
        <w:rPr>
          <w:rFonts w:ascii="Arial" w:hAnsi="Arial" w:cs="Arial"/>
          <w:sz w:val="24"/>
          <w:szCs w:val="24"/>
        </w:rPr>
        <w:t>Απουσία δυνητικού ανταγωνισμού στην προσδιορισθείσα σχετική αγορά</w:t>
      </w:r>
    </w:p>
    <w:p w:rsidR="00D00055" w:rsidRPr="005B23F7" w:rsidRDefault="00D00055" w:rsidP="0055297E">
      <w:pPr>
        <w:pStyle w:val="a3"/>
        <w:numPr>
          <w:ilvl w:val="1"/>
          <w:numId w:val="8"/>
        </w:numPr>
        <w:spacing w:after="0" w:line="240" w:lineRule="auto"/>
        <w:ind w:left="1418"/>
        <w:jc w:val="both"/>
        <w:rPr>
          <w:rFonts w:ascii="Arial" w:hAnsi="Arial" w:cs="Arial"/>
          <w:sz w:val="24"/>
          <w:szCs w:val="24"/>
        </w:rPr>
      </w:pPr>
      <w:r w:rsidRPr="005B23F7">
        <w:rPr>
          <w:rFonts w:ascii="Arial" w:hAnsi="Arial" w:cs="Arial"/>
          <w:sz w:val="24"/>
          <w:szCs w:val="24"/>
        </w:rPr>
        <w:t>Ύπαρξη και η άσκηση δικαιωμάτων διανοητικής ιδιοκτησίας</w:t>
      </w:r>
    </w:p>
    <w:p w:rsidR="00D00055" w:rsidRPr="005B23F7" w:rsidRDefault="00D00055" w:rsidP="0055297E">
      <w:pPr>
        <w:pStyle w:val="a3"/>
        <w:numPr>
          <w:ilvl w:val="1"/>
          <w:numId w:val="8"/>
        </w:numPr>
        <w:spacing w:after="0" w:line="240" w:lineRule="auto"/>
        <w:ind w:left="1418"/>
        <w:jc w:val="both"/>
        <w:rPr>
          <w:rFonts w:ascii="Arial" w:hAnsi="Arial" w:cs="Arial"/>
          <w:sz w:val="24"/>
          <w:szCs w:val="24"/>
        </w:rPr>
      </w:pPr>
      <w:r w:rsidRPr="005B23F7">
        <w:rPr>
          <w:rFonts w:ascii="Arial" w:hAnsi="Arial" w:cs="Arial"/>
          <w:sz w:val="24"/>
          <w:szCs w:val="24"/>
        </w:rPr>
        <w:t>Το γεγονός ότι το προϊόν της κρινόμενης επιχείρησης εισήλθε πρώτο στην προσδιορισθείσα σχετική αγορά</w:t>
      </w:r>
    </w:p>
    <w:p w:rsidR="00D00055" w:rsidRPr="005B23F7" w:rsidRDefault="00D00055" w:rsidP="0055297E">
      <w:pPr>
        <w:pStyle w:val="a3"/>
        <w:numPr>
          <w:ilvl w:val="0"/>
          <w:numId w:val="9"/>
        </w:numPr>
        <w:spacing w:after="0" w:line="240" w:lineRule="auto"/>
        <w:ind w:left="709"/>
        <w:jc w:val="both"/>
        <w:rPr>
          <w:rFonts w:ascii="Arial" w:hAnsi="Arial" w:cs="Arial"/>
          <w:sz w:val="24"/>
          <w:szCs w:val="24"/>
        </w:rPr>
      </w:pPr>
      <w:r w:rsidRPr="005B23F7">
        <w:rPr>
          <w:rFonts w:ascii="Arial" w:hAnsi="Arial" w:cs="Arial"/>
          <w:b/>
          <w:sz w:val="24"/>
          <w:szCs w:val="24"/>
        </w:rPr>
        <w:t>Επιχείρηση που κατέχει «εκ του νόμου μονοπώλιο» σε ορισμένη σχετική αγορά</w:t>
      </w:r>
      <w:r w:rsidRPr="005B23F7">
        <w:rPr>
          <w:rFonts w:ascii="Arial" w:hAnsi="Arial" w:cs="Arial"/>
          <w:sz w:val="24"/>
          <w:szCs w:val="24"/>
        </w:rPr>
        <w:t xml:space="preserve"> = Επιχείρηση που κατέχει δεσπόζουσα θέση στη συγκεκριμένη σχετική αγορά </w:t>
      </w:r>
    </w:p>
    <w:p w:rsidR="00D00055" w:rsidRPr="005B23F7" w:rsidRDefault="00D00055" w:rsidP="0055297E">
      <w:pPr>
        <w:pStyle w:val="a3"/>
        <w:spacing w:after="0" w:line="240" w:lineRule="auto"/>
        <w:ind w:left="1418"/>
        <w:jc w:val="both"/>
        <w:rPr>
          <w:rFonts w:ascii="Arial" w:hAnsi="Arial" w:cs="Arial"/>
          <w:sz w:val="24"/>
          <w:szCs w:val="24"/>
        </w:rPr>
      </w:pPr>
    </w:p>
    <w:p w:rsidR="00D06E13" w:rsidRPr="005B23F7" w:rsidRDefault="00D06E13" w:rsidP="0055297E">
      <w:pPr>
        <w:pStyle w:val="a3"/>
        <w:spacing w:after="0" w:line="240" w:lineRule="auto"/>
        <w:ind w:left="1418"/>
        <w:jc w:val="both"/>
        <w:rPr>
          <w:rFonts w:ascii="Arial" w:hAnsi="Arial" w:cs="Arial"/>
          <w:sz w:val="24"/>
          <w:szCs w:val="24"/>
        </w:rPr>
      </w:pPr>
    </w:p>
    <w:p w:rsidR="00C765B3" w:rsidRPr="005B23F7" w:rsidRDefault="00C765B3" w:rsidP="0055297E">
      <w:pPr>
        <w:spacing w:after="0" w:line="240" w:lineRule="auto"/>
        <w:jc w:val="both"/>
        <w:rPr>
          <w:rFonts w:ascii="Arial" w:hAnsi="Arial" w:cs="Arial"/>
          <w:b/>
          <w:sz w:val="24"/>
          <w:szCs w:val="24"/>
        </w:rPr>
      </w:pPr>
      <w:r w:rsidRPr="005B23F7">
        <w:rPr>
          <w:rFonts w:ascii="Arial" w:hAnsi="Arial" w:cs="Arial"/>
          <w:b/>
          <w:sz w:val="24"/>
          <w:szCs w:val="24"/>
        </w:rPr>
        <w:t>4. Διαπίστωση παραβάσεων του άρθρου 102 ΣΛΕΕ</w:t>
      </w:r>
    </w:p>
    <w:p w:rsidR="00C765B3" w:rsidRPr="005B23F7" w:rsidRDefault="00C765B3" w:rsidP="0055297E">
      <w:pPr>
        <w:spacing w:after="0" w:line="240" w:lineRule="auto"/>
        <w:jc w:val="both"/>
        <w:rPr>
          <w:rFonts w:ascii="Arial" w:hAnsi="Arial" w:cs="Arial"/>
          <w:sz w:val="24"/>
          <w:szCs w:val="24"/>
        </w:rPr>
      </w:pPr>
      <w:r w:rsidRPr="005B23F7">
        <w:rPr>
          <w:rFonts w:ascii="Arial" w:hAnsi="Arial" w:cs="Arial"/>
          <w:sz w:val="24"/>
          <w:szCs w:val="24"/>
        </w:rPr>
        <w:t xml:space="preserve">           </w:t>
      </w:r>
    </w:p>
    <w:p w:rsidR="00C765B3" w:rsidRPr="005B23F7" w:rsidRDefault="00C765B3" w:rsidP="0055297E">
      <w:pPr>
        <w:pStyle w:val="a3"/>
        <w:numPr>
          <w:ilvl w:val="0"/>
          <w:numId w:val="9"/>
        </w:numPr>
        <w:spacing w:after="0" w:line="240" w:lineRule="auto"/>
        <w:ind w:left="709"/>
        <w:jc w:val="both"/>
        <w:rPr>
          <w:rFonts w:ascii="Arial" w:hAnsi="Arial" w:cs="Arial"/>
          <w:b/>
          <w:sz w:val="24"/>
          <w:szCs w:val="24"/>
        </w:rPr>
      </w:pPr>
      <w:r w:rsidRPr="005B23F7">
        <w:rPr>
          <w:rFonts w:ascii="Arial" w:hAnsi="Arial" w:cs="Arial"/>
          <w:b/>
          <w:sz w:val="24"/>
          <w:szCs w:val="24"/>
        </w:rPr>
        <w:t>Επιθετική τιμολόγηση</w:t>
      </w:r>
    </w:p>
    <w:p w:rsidR="00C765B3" w:rsidRPr="005B23F7" w:rsidRDefault="00C765B3"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AKZO</w:t>
      </w:r>
      <w:r w:rsidR="00102DED" w:rsidRPr="005B23F7">
        <w:rPr>
          <w:rFonts w:ascii="Arial" w:hAnsi="Arial" w:cs="Arial"/>
          <w:i/>
          <w:sz w:val="24"/>
          <w:szCs w:val="24"/>
        </w:rPr>
        <w:t xml:space="preserve"> (</w:t>
      </w:r>
      <w:proofErr w:type="spellStart"/>
      <w:r w:rsidR="00102DED" w:rsidRPr="005B23F7">
        <w:rPr>
          <w:rFonts w:ascii="Arial" w:hAnsi="Arial" w:cs="Arial"/>
          <w:i/>
          <w:sz w:val="24"/>
          <w:szCs w:val="24"/>
        </w:rPr>
        <w:t>Δικ</w:t>
      </w:r>
      <w:proofErr w:type="spellEnd"/>
      <w:r w:rsidR="00102DED" w:rsidRPr="005B23F7">
        <w:rPr>
          <w:rFonts w:ascii="Arial" w:hAnsi="Arial" w:cs="Arial"/>
          <w:i/>
          <w:sz w:val="24"/>
          <w:szCs w:val="24"/>
        </w:rPr>
        <w:t>.)</w:t>
      </w:r>
      <w:r w:rsidRPr="005B23F7">
        <w:rPr>
          <w:rFonts w:ascii="Arial" w:hAnsi="Arial" w:cs="Arial"/>
          <w:sz w:val="24"/>
          <w:szCs w:val="24"/>
        </w:rPr>
        <w:t>: «τιμές υπολειπόμενες του μέσου όρου του κυμαινόμενου κόστους (δηλαδή του κόστους που μεταβάλλεται ανάλογα με τις παραγόμενες ποσότητες), με τις οποίες επιχείρηση κατέχουσα δεσπόζουσα θέση επιχειρεί να εκτοπίσει ανταγωνίστρια επιχείρηση, πρέπει να θεωρούνται ως καταχρηστικές.»</w:t>
      </w:r>
    </w:p>
    <w:p w:rsidR="00C765B3" w:rsidRPr="005B23F7" w:rsidRDefault="00C765B3"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AKZO</w:t>
      </w:r>
      <w:r w:rsidR="00102DED" w:rsidRPr="005B23F7">
        <w:rPr>
          <w:rFonts w:ascii="Arial" w:hAnsi="Arial" w:cs="Arial"/>
          <w:i/>
          <w:sz w:val="24"/>
          <w:szCs w:val="24"/>
        </w:rPr>
        <w:t xml:space="preserve"> (</w:t>
      </w:r>
      <w:proofErr w:type="spellStart"/>
      <w:r w:rsidR="00102DED" w:rsidRPr="005B23F7">
        <w:rPr>
          <w:rFonts w:ascii="Arial" w:hAnsi="Arial" w:cs="Arial"/>
          <w:i/>
          <w:sz w:val="24"/>
          <w:szCs w:val="24"/>
        </w:rPr>
        <w:t>Δικ</w:t>
      </w:r>
      <w:proofErr w:type="spellEnd"/>
      <w:r w:rsidR="00102DED" w:rsidRPr="005B23F7">
        <w:rPr>
          <w:rFonts w:ascii="Arial" w:hAnsi="Arial" w:cs="Arial"/>
          <w:i/>
          <w:sz w:val="24"/>
          <w:szCs w:val="24"/>
        </w:rPr>
        <w:t>.)</w:t>
      </w:r>
      <w:r w:rsidRPr="005B23F7">
        <w:rPr>
          <w:rFonts w:ascii="Arial" w:hAnsi="Arial" w:cs="Arial"/>
          <w:sz w:val="24"/>
          <w:szCs w:val="24"/>
        </w:rPr>
        <w:t>: «τιμές κατώτερες από τον μέσο όρο του συνολικού κόστους, οι οποίες περιλαμβάνουν τόσο το σταθερό όσο και το κυμαινόμενο κόστος, αλλά είναι ανώτερες από τον μέσο όρο του κυμαινόμενου κόστους μπορούν να θεωρηθούν ως καταχρηστικές όταν καθορίζονται στο πλαίσιο σχεδίου που αποβλέπει στην εκδίωξη από την αγορά ανταγωνιστικής επιχειρήσεως.»</w:t>
      </w:r>
    </w:p>
    <w:p w:rsidR="00C765B3" w:rsidRPr="005B23F7" w:rsidRDefault="00C765B3"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Wanadoo</w:t>
      </w:r>
      <w:proofErr w:type="spellEnd"/>
      <w:r w:rsidR="00102DED" w:rsidRPr="005B23F7">
        <w:rPr>
          <w:rFonts w:ascii="Arial" w:hAnsi="Arial" w:cs="Arial"/>
          <w:i/>
          <w:sz w:val="24"/>
          <w:szCs w:val="24"/>
        </w:rPr>
        <w:t xml:space="preserve"> (</w:t>
      </w:r>
      <w:proofErr w:type="spellStart"/>
      <w:r w:rsidR="00102DED" w:rsidRPr="005B23F7">
        <w:rPr>
          <w:rFonts w:ascii="Arial" w:hAnsi="Arial" w:cs="Arial"/>
          <w:i/>
          <w:sz w:val="24"/>
          <w:szCs w:val="24"/>
        </w:rPr>
        <w:t>ΓενΔικ</w:t>
      </w:r>
      <w:proofErr w:type="spellEnd"/>
      <w:r w:rsidR="00102DED" w:rsidRPr="005B23F7">
        <w:rPr>
          <w:rFonts w:ascii="Arial" w:hAnsi="Arial" w:cs="Arial"/>
          <w:i/>
          <w:sz w:val="24"/>
          <w:szCs w:val="24"/>
        </w:rPr>
        <w:t>.)</w:t>
      </w:r>
      <w:r w:rsidRPr="005B23F7">
        <w:rPr>
          <w:rFonts w:ascii="Arial" w:hAnsi="Arial" w:cs="Arial"/>
          <w:sz w:val="24"/>
          <w:szCs w:val="24"/>
        </w:rPr>
        <w:t>: Οι οικονομίες κλίμακας και τα αποτελέσματα τεχνογνωσίας από τις οποίες επωφελείται μια δεσπόζουσα επιχείρηση που εφαρμόζει επιθετική τιμολόγηση δεν μπορούν να απαλλάξουν την εν λόγω επιχείρηση από την ευθύνη της κατά το άρθρο 102 ΣΛΕΕ</w:t>
      </w:r>
      <w:r w:rsidR="00C57148" w:rsidRPr="005B23F7">
        <w:rPr>
          <w:rFonts w:ascii="Arial" w:hAnsi="Arial" w:cs="Arial"/>
          <w:sz w:val="24"/>
          <w:szCs w:val="24"/>
        </w:rPr>
        <w:t>.</w:t>
      </w:r>
    </w:p>
    <w:p w:rsidR="00C57148" w:rsidRPr="005B23F7" w:rsidRDefault="00C57148"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lastRenderedPageBreak/>
        <w:t xml:space="preserve">Απόφαση </w:t>
      </w:r>
      <w:r w:rsidRPr="005B23F7">
        <w:rPr>
          <w:rFonts w:ascii="Arial" w:hAnsi="Arial" w:cs="Arial"/>
          <w:i/>
          <w:sz w:val="24"/>
          <w:szCs w:val="24"/>
          <w:lang w:val="en-US"/>
        </w:rPr>
        <w:t>AKZO</w:t>
      </w:r>
      <w:r w:rsidR="00102DED" w:rsidRPr="005B23F7">
        <w:rPr>
          <w:rFonts w:ascii="Arial" w:hAnsi="Arial" w:cs="Arial"/>
          <w:i/>
          <w:sz w:val="24"/>
          <w:szCs w:val="24"/>
        </w:rPr>
        <w:t xml:space="preserve"> (</w:t>
      </w:r>
      <w:proofErr w:type="spellStart"/>
      <w:r w:rsidR="00102DED" w:rsidRPr="005B23F7">
        <w:rPr>
          <w:rFonts w:ascii="Arial" w:hAnsi="Arial" w:cs="Arial"/>
          <w:i/>
          <w:sz w:val="24"/>
          <w:szCs w:val="24"/>
        </w:rPr>
        <w:t>Δικ</w:t>
      </w:r>
      <w:proofErr w:type="spellEnd"/>
      <w:r w:rsidR="00102DED" w:rsidRPr="005B23F7">
        <w:rPr>
          <w:rFonts w:ascii="Arial" w:hAnsi="Arial" w:cs="Arial"/>
          <w:i/>
          <w:sz w:val="24"/>
          <w:szCs w:val="24"/>
        </w:rPr>
        <w:t>.)</w:t>
      </w:r>
      <w:r w:rsidRPr="005B23F7">
        <w:rPr>
          <w:rFonts w:ascii="Arial" w:hAnsi="Arial" w:cs="Arial"/>
          <w:sz w:val="24"/>
          <w:szCs w:val="24"/>
        </w:rPr>
        <w:t>: Μόνο κόστη και τιμές της δεσπόζουσας επιχείρησης πρέπει να λαμβάνονται υπόψη για να απαντηθεί αν η επιχείρηση αυτή παρέβη το άρθρο 102 ΣΛΕΕ υπό τη μορφή της επιθετικής τιμολόγησης.</w:t>
      </w:r>
    </w:p>
    <w:p w:rsidR="00C57148" w:rsidRPr="005B23F7" w:rsidRDefault="00C57148"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AKZO</w:t>
      </w:r>
      <w:r w:rsidR="00102DED" w:rsidRPr="005B23F7">
        <w:rPr>
          <w:rFonts w:ascii="Arial" w:hAnsi="Arial" w:cs="Arial"/>
          <w:i/>
          <w:sz w:val="24"/>
          <w:szCs w:val="24"/>
        </w:rPr>
        <w:t xml:space="preserve"> (</w:t>
      </w:r>
      <w:proofErr w:type="spellStart"/>
      <w:r w:rsidR="00102DED" w:rsidRPr="005B23F7">
        <w:rPr>
          <w:rFonts w:ascii="Arial" w:hAnsi="Arial" w:cs="Arial"/>
          <w:i/>
          <w:sz w:val="24"/>
          <w:szCs w:val="24"/>
        </w:rPr>
        <w:t>Δικ</w:t>
      </w:r>
      <w:proofErr w:type="spellEnd"/>
      <w:r w:rsidR="00102DED" w:rsidRPr="005B23F7">
        <w:rPr>
          <w:rFonts w:ascii="Arial" w:hAnsi="Arial" w:cs="Arial"/>
          <w:i/>
          <w:sz w:val="24"/>
          <w:szCs w:val="24"/>
        </w:rPr>
        <w:t>.)</w:t>
      </w:r>
      <w:r w:rsidRPr="005B23F7">
        <w:rPr>
          <w:rFonts w:ascii="Arial" w:hAnsi="Arial" w:cs="Arial"/>
          <w:sz w:val="24"/>
          <w:szCs w:val="24"/>
        </w:rPr>
        <w:t>: Ο προσδιορισμός του περιεχομένου του όρου «κόστος» πρέπει πάντοτε να γίνεται σύμφωνα με τα πραγματικά κόστη και σε σχέση με τις παραγόμενες ποσότητες.</w:t>
      </w:r>
    </w:p>
    <w:p w:rsidR="00FB530A" w:rsidRPr="005B23F7" w:rsidRDefault="00C57148"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«Κατευθύνσεις σχετικά µε τις προτεραιότητες της Επιτροπής κατά τον έλεγχο της εφαρμογής του άρθρου 82 της συνθήκης ΕΚ σε καταχρηστικές συμπεριφορές αποκλεισμού που υιοθετούν δεσπόζουσες επιχειρήσεις» - Απόφαση </w:t>
      </w:r>
      <w:r w:rsidRPr="005B23F7">
        <w:rPr>
          <w:rFonts w:ascii="Arial" w:hAnsi="Arial" w:cs="Arial"/>
          <w:i/>
          <w:sz w:val="24"/>
          <w:szCs w:val="24"/>
          <w:lang w:val="en-US"/>
        </w:rPr>
        <w:t>Post</w:t>
      </w:r>
      <w:r w:rsidRPr="005B23F7">
        <w:rPr>
          <w:rFonts w:ascii="Arial" w:hAnsi="Arial" w:cs="Arial"/>
          <w:i/>
          <w:sz w:val="24"/>
          <w:szCs w:val="24"/>
        </w:rPr>
        <w:t xml:space="preserve"> </w:t>
      </w:r>
      <w:proofErr w:type="spellStart"/>
      <w:r w:rsidRPr="005B23F7">
        <w:rPr>
          <w:rFonts w:ascii="Arial" w:hAnsi="Arial" w:cs="Arial"/>
          <w:i/>
          <w:sz w:val="24"/>
          <w:szCs w:val="24"/>
          <w:lang w:val="en-US"/>
        </w:rPr>
        <w:t>Danmark</w:t>
      </w:r>
      <w:proofErr w:type="spellEnd"/>
      <w:r w:rsidR="00102DED" w:rsidRPr="005B23F7">
        <w:rPr>
          <w:rFonts w:ascii="Arial" w:hAnsi="Arial" w:cs="Arial"/>
          <w:i/>
          <w:sz w:val="24"/>
          <w:szCs w:val="24"/>
        </w:rPr>
        <w:t xml:space="preserve"> (</w:t>
      </w:r>
      <w:proofErr w:type="spellStart"/>
      <w:r w:rsidR="00102DED" w:rsidRPr="005B23F7">
        <w:rPr>
          <w:rFonts w:ascii="Arial" w:hAnsi="Arial" w:cs="Arial"/>
          <w:i/>
          <w:sz w:val="24"/>
          <w:szCs w:val="24"/>
        </w:rPr>
        <w:t>Δικ</w:t>
      </w:r>
      <w:proofErr w:type="spellEnd"/>
      <w:r w:rsidR="00102DED" w:rsidRPr="005B23F7">
        <w:rPr>
          <w:rFonts w:ascii="Arial" w:hAnsi="Arial" w:cs="Arial"/>
          <w:i/>
          <w:sz w:val="24"/>
          <w:szCs w:val="24"/>
        </w:rPr>
        <w:t>.)</w:t>
      </w:r>
      <w:r w:rsidRPr="005B23F7">
        <w:rPr>
          <w:rFonts w:ascii="Arial" w:hAnsi="Arial" w:cs="Arial"/>
          <w:sz w:val="24"/>
          <w:szCs w:val="24"/>
        </w:rPr>
        <w:t xml:space="preserve">: Αξιολόγηση της δεσπόζουσας επιχείρησης με κριτήρια το µέσο αποφεύξιμο κόστος (ΜΑΚ) και το µέσο μακροπρόθεσμο </w:t>
      </w:r>
      <w:proofErr w:type="spellStart"/>
      <w:r w:rsidRPr="005B23F7">
        <w:rPr>
          <w:rFonts w:ascii="Arial" w:hAnsi="Arial" w:cs="Arial"/>
          <w:sz w:val="24"/>
          <w:szCs w:val="24"/>
        </w:rPr>
        <w:t>επαυξητικό</w:t>
      </w:r>
      <w:proofErr w:type="spellEnd"/>
      <w:r w:rsidRPr="005B23F7">
        <w:rPr>
          <w:rFonts w:ascii="Arial" w:hAnsi="Arial" w:cs="Arial"/>
          <w:sz w:val="24"/>
          <w:szCs w:val="24"/>
        </w:rPr>
        <w:t xml:space="preserve"> κόστος (ΜΜΕΚ).</w:t>
      </w:r>
    </w:p>
    <w:p w:rsidR="00FB530A" w:rsidRPr="005B23F7" w:rsidRDefault="00FB530A" w:rsidP="0055297E">
      <w:pPr>
        <w:spacing w:after="0" w:line="240" w:lineRule="auto"/>
        <w:jc w:val="both"/>
        <w:rPr>
          <w:rFonts w:ascii="Arial" w:hAnsi="Arial" w:cs="Arial"/>
          <w:sz w:val="24"/>
          <w:szCs w:val="24"/>
        </w:rPr>
      </w:pPr>
    </w:p>
    <w:p w:rsidR="00FB530A" w:rsidRPr="005B23F7" w:rsidRDefault="00FB530A" w:rsidP="0055297E">
      <w:pPr>
        <w:pStyle w:val="a3"/>
        <w:numPr>
          <w:ilvl w:val="0"/>
          <w:numId w:val="9"/>
        </w:numPr>
        <w:spacing w:after="0" w:line="240" w:lineRule="auto"/>
        <w:ind w:left="709"/>
        <w:jc w:val="both"/>
        <w:rPr>
          <w:rFonts w:ascii="Arial" w:hAnsi="Arial" w:cs="Arial"/>
          <w:b/>
          <w:sz w:val="24"/>
          <w:szCs w:val="24"/>
        </w:rPr>
      </w:pPr>
      <w:r w:rsidRPr="005B23F7">
        <w:rPr>
          <w:rFonts w:ascii="Arial" w:hAnsi="Arial" w:cs="Arial"/>
          <w:b/>
          <w:sz w:val="24"/>
          <w:szCs w:val="24"/>
        </w:rPr>
        <w:t>Συμπίεση των τιμών</w:t>
      </w:r>
    </w:p>
    <w:p w:rsidR="00FB530A" w:rsidRPr="005B23F7" w:rsidRDefault="00FB530A"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r w:rsidRPr="005B23F7">
        <w:rPr>
          <w:rFonts w:ascii="Arial" w:hAnsi="Arial" w:cs="Arial"/>
          <w:i/>
          <w:sz w:val="24"/>
          <w:szCs w:val="24"/>
          <w:lang w:val="fr-FR"/>
        </w:rPr>
        <w:t>Industrie</w:t>
      </w:r>
      <w:r w:rsidRPr="005B23F7">
        <w:rPr>
          <w:rFonts w:ascii="Arial" w:hAnsi="Arial" w:cs="Arial"/>
          <w:i/>
          <w:sz w:val="24"/>
          <w:szCs w:val="24"/>
        </w:rPr>
        <w:t xml:space="preserve"> </w:t>
      </w:r>
      <w:r w:rsidRPr="005B23F7">
        <w:rPr>
          <w:rFonts w:ascii="Arial" w:hAnsi="Arial" w:cs="Arial"/>
          <w:i/>
          <w:sz w:val="24"/>
          <w:szCs w:val="24"/>
          <w:lang w:val="fr-FR"/>
        </w:rPr>
        <w:t>des</w:t>
      </w:r>
      <w:r w:rsidRPr="005B23F7">
        <w:rPr>
          <w:rFonts w:ascii="Arial" w:hAnsi="Arial" w:cs="Arial"/>
          <w:i/>
          <w:sz w:val="24"/>
          <w:szCs w:val="24"/>
        </w:rPr>
        <w:t xml:space="preserve"> </w:t>
      </w:r>
      <w:r w:rsidRPr="005B23F7">
        <w:rPr>
          <w:rFonts w:ascii="Arial" w:hAnsi="Arial" w:cs="Arial"/>
          <w:i/>
          <w:sz w:val="24"/>
          <w:szCs w:val="24"/>
          <w:lang w:val="fr-FR"/>
        </w:rPr>
        <w:t>poudres</w:t>
      </w:r>
      <w:r w:rsidRPr="005B23F7">
        <w:rPr>
          <w:rFonts w:ascii="Arial" w:hAnsi="Arial" w:cs="Arial"/>
          <w:i/>
          <w:sz w:val="24"/>
          <w:szCs w:val="24"/>
        </w:rPr>
        <w:t xml:space="preserve"> </w:t>
      </w:r>
      <w:proofErr w:type="spellStart"/>
      <w:r w:rsidRPr="005B23F7">
        <w:rPr>
          <w:rFonts w:ascii="Arial" w:hAnsi="Arial" w:cs="Arial"/>
          <w:i/>
          <w:sz w:val="24"/>
          <w:szCs w:val="24"/>
          <w:lang w:val="fr-FR"/>
        </w:rPr>
        <w:t>sph</w:t>
      </w:r>
      <w:proofErr w:type="spellEnd"/>
      <w:r w:rsidRPr="005B23F7">
        <w:rPr>
          <w:rFonts w:ascii="Arial" w:hAnsi="Arial" w:cs="Arial"/>
          <w:i/>
          <w:sz w:val="24"/>
          <w:szCs w:val="24"/>
        </w:rPr>
        <w:t>é</w:t>
      </w:r>
      <w:proofErr w:type="spellStart"/>
      <w:r w:rsidRPr="005B23F7">
        <w:rPr>
          <w:rFonts w:ascii="Arial" w:hAnsi="Arial" w:cs="Arial"/>
          <w:i/>
          <w:sz w:val="24"/>
          <w:szCs w:val="24"/>
          <w:lang w:val="fr-FR"/>
        </w:rPr>
        <w:t>riques</w:t>
      </w:r>
      <w:proofErr w:type="spellEnd"/>
      <w:r w:rsidR="00102DED" w:rsidRPr="005B23F7">
        <w:rPr>
          <w:rFonts w:ascii="Arial" w:hAnsi="Arial" w:cs="Arial"/>
          <w:i/>
          <w:sz w:val="24"/>
          <w:szCs w:val="24"/>
        </w:rPr>
        <w:t xml:space="preserve"> (</w:t>
      </w:r>
      <w:proofErr w:type="spellStart"/>
      <w:r w:rsidR="00102DED" w:rsidRPr="005B23F7">
        <w:rPr>
          <w:rFonts w:ascii="Arial" w:hAnsi="Arial" w:cs="Arial"/>
          <w:i/>
          <w:sz w:val="24"/>
          <w:szCs w:val="24"/>
        </w:rPr>
        <w:t>ΓενΔικ</w:t>
      </w:r>
      <w:proofErr w:type="spellEnd"/>
      <w:r w:rsidR="00102DED" w:rsidRPr="005B23F7">
        <w:rPr>
          <w:rFonts w:ascii="Arial" w:hAnsi="Arial" w:cs="Arial"/>
          <w:i/>
          <w:sz w:val="24"/>
          <w:szCs w:val="24"/>
        </w:rPr>
        <w:t>.)</w:t>
      </w:r>
      <w:r w:rsidRPr="005B23F7">
        <w:rPr>
          <w:rFonts w:ascii="Arial" w:hAnsi="Arial" w:cs="Arial"/>
          <w:sz w:val="24"/>
          <w:szCs w:val="24"/>
        </w:rPr>
        <w:t>: Η συμπίεση των τιμών λαμβάνει χώρα όταν «μια επιχείρηση, που κατέχει δεσπόζουσα θέση στην αγορά ενός μη τελικού προϊόντος και που η ίδια χρησιμοποιεί ένα μέρος της παραγωγής της για την παρασκευή ενός πιο επεξεργασμένου προϊόντος ενώ πωλεί στην αγορά το πλεόνασμα του μη τελικού προϊόντος, καθορίζει σε τέτοιο επίπεδο τις τιμές στις οποίες πωλεί το μη τελικό προϊόν σε τρίτους ώστε αυτοί να μην έχουν επαρκές περιθώριο μεταποιήσεως για να παραμείνουν ανταγωνιστικοί στην αγορά του μεταποιημένου προϊόντος.»</w:t>
      </w:r>
    </w:p>
    <w:p w:rsidR="00FB530A" w:rsidRPr="005B23F7" w:rsidRDefault="00FB530A"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Απόφαση</w:t>
      </w:r>
      <w:r w:rsidRPr="005B23F7">
        <w:rPr>
          <w:rFonts w:ascii="Arial" w:hAnsi="Arial" w:cs="Arial"/>
          <w:sz w:val="24"/>
          <w:szCs w:val="24"/>
          <w:lang w:val="fr-FR"/>
        </w:rPr>
        <w:t xml:space="preserve"> </w:t>
      </w:r>
      <w:r w:rsidRPr="005B23F7">
        <w:rPr>
          <w:rFonts w:ascii="Arial" w:hAnsi="Arial" w:cs="Arial"/>
          <w:i/>
          <w:sz w:val="24"/>
          <w:szCs w:val="24"/>
          <w:lang w:val="fr-FR"/>
        </w:rPr>
        <w:t>Industrie des poudres sphériques</w:t>
      </w:r>
      <w:r w:rsidRPr="005B23F7">
        <w:rPr>
          <w:rFonts w:ascii="Arial" w:hAnsi="Arial" w:cs="Arial"/>
          <w:sz w:val="24"/>
          <w:szCs w:val="24"/>
          <w:lang w:val="fr-FR"/>
        </w:rPr>
        <w:t xml:space="preserve"> </w:t>
      </w:r>
      <w:r w:rsidR="00102DED" w:rsidRPr="005B23F7">
        <w:rPr>
          <w:rFonts w:ascii="Arial" w:hAnsi="Arial" w:cs="Arial"/>
          <w:i/>
          <w:sz w:val="24"/>
          <w:szCs w:val="24"/>
          <w:lang w:val="fr-FR"/>
        </w:rPr>
        <w:t>(</w:t>
      </w:r>
      <w:proofErr w:type="spellStart"/>
      <w:r w:rsidR="00102DED" w:rsidRPr="005B23F7">
        <w:rPr>
          <w:rFonts w:ascii="Arial" w:hAnsi="Arial" w:cs="Arial"/>
          <w:i/>
          <w:sz w:val="24"/>
          <w:szCs w:val="24"/>
        </w:rPr>
        <w:t>ΓενΔικ</w:t>
      </w:r>
      <w:proofErr w:type="spellEnd"/>
      <w:r w:rsidR="00102DED" w:rsidRPr="005B23F7">
        <w:rPr>
          <w:rFonts w:ascii="Arial" w:hAnsi="Arial" w:cs="Arial"/>
          <w:i/>
          <w:sz w:val="24"/>
          <w:szCs w:val="24"/>
          <w:lang w:val="fr-FR"/>
        </w:rPr>
        <w:t>.)</w:t>
      </w:r>
      <w:r w:rsidRPr="005B23F7">
        <w:rPr>
          <w:rFonts w:ascii="Arial" w:hAnsi="Arial" w:cs="Arial"/>
          <w:sz w:val="24"/>
          <w:szCs w:val="24"/>
          <w:lang w:val="fr-FR"/>
        </w:rPr>
        <w:t xml:space="preserve">– </w:t>
      </w:r>
      <w:r w:rsidRPr="005B23F7">
        <w:rPr>
          <w:rFonts w:ascii="Arial" w:hAnsi="Arial" w:cs="Arial"/>
          <w:sz w:val="24"/>
          <w:szCs w:val="24"/>
        </w:rPr>
        <w:t xml:space="preserve">Απόφαση </w:t>
      </w:r>
      <w:proofErr w:type="spellStart"/>
      <w:r w:rsidRPr="005B23F7">
        <w:rPr>
          <w:rFonts w:ascii="Arial" w:hAnsi="Arial" w:cs="Arial"/>
          <w:i/>
          <w:sz w:val="24"/>
          <w:szCs w:val="24"/>
          <w:lang w:val="fr-FR"/>
        </w:rPr>
        <w:t>TeliaSonera</w:t>
      </w:r>
      <w:proofErr w:type="spellEnd"/>
      <w:r w:rsidR="00102DED" w:rsidRPr="005B23F7">
        <w:rPr>
          <w:rFonts w:ascii="Arial" w:hAnsi="Arial" w:cs="Arial"/>
          <w:i/>
          <w:sz w:val="24"/>
          <w:szCs w:val="24"/>
        </w:rPr>
        <w:t xml:space="preserve"> (</w:t>
      </w:r>
      <w:proofErr w:type="spellStart"/>
      <w:r w:rsidR="00102DED" w:rsidRPr="005B23F7">
        <w:rPr>
          <w:rFonts w:ascii="Arial" w:hAnsi="Arial" w:cs="Arial"/>
          <w:i/>
          <w:sz w:val="24"/>
          <w:szCs w:val="24"/>
        </w:rPr>
        <w:t>Δικ</w:t>
      </w:r>
      <w:proofErr w:type="spellEnd"/>
      <w:r w:rsidR="00102DED" w:rsidRPr="005B23F7">
        <w:rPr>
          <w:rFonts w:ascii="Arial" w:hAnsi="Arial" w:cs="Arial"/>
          <w:i/>
          <w:sz w:val="24"/>
          <w:szCs w:val="24"/>
        </w:rPr>
        <w:t>.)</w:t>
      </w:r>
      <w:r w:rsidRPr="005B23F7">
        <w:rPr>
          <w:rFonts w:ascii="Arial" w:hAnsi="Arial" w:cs="Arial"/>
          <w:sz w:val="24"/>
          <w:szCs w:val="24"/>
        </w:rPr>
        <w:t>: Η συμπίεση των τιμών μπορεί να προέλθει όχι μόνον από ασυνήθιστα χαμηλή τιμή λιανικής, αλλά και από ασυνήθιστα υψηλή τιμή χονδρικής.</w:t>
      </w:r>
    </w:p>
    <w:p w:rsidR="00FB530A" w:rsidRPr="005B23F7" w:rsidRDefault="00102DED"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fr-FR"/>
        </w:rPr>
        <w:t>TeliaSonera</w:t>
      </w:r>
      <w:proofErr w:type="spellEnd"/>
      <w:r w:rsidRPr="005B23F7">
        <w:rPr>
          <w:rFonts w:ascii="Arial" w:hAnsi="Arial" w:cs="Arial"/>
          <w:i/>
          <w:sz w:val="24"/>
          <w:szCs w:val="24"/>
        </w:rPr>
        <w:t xml:space="preserve"> (</w:t>
      </w:r>
      <w:proofErr w:type="spellStart"/>
      <w:r w:rsidRPr="005B23F7">
        <w:rPr>
          <w:rFonts w:ascii="Arial" w:hAnsi="Arial" w:cs="Arial"/>
          <w:i/>
          <w:sz w:val="24"/>
          <w:szCs w:val="24"/>
        </w:rPr>
        <w:t>Δικ</w:t>
      </w:r>
      <w:proofErr w:type="spellEnd"/>
      <w:r w:rsidRPr="005B23F7">
        <w:rPr>
          <w:rFonts w:ascii="Arial" w:hAnsi="Arial" w:cs="Arial"/>
          <w:i/>
          <w:sz w:val="24"/>
          <w:szCs w:val="24"/>
        </w:rPr>
        <w:t>.)</w:t>
      </w:r>
      <w:r w:rsidR="0067361B">
        <w:rPr>
          <w:rFonts w:ascii="Arial" w:hAnsi="Arial" w:cs="Arial"/>
          <w:sz w:val="24"/>
          <w:szCs w:val="24"/>
        </w:rPr>
        <w:t xml:space="preserve">: </w:t>
      </w:r>
      <w:r w:rsidRPr="005B23F7">
        <w:rPr>
          <w:rFonts w:ascii="Arial" w:hAnsi="Arial" w:cs="Arial"/>
          <w:sz w:val="24"/>
          <w:szCs w:val="24"/>
        </w:rPr>
        <w:t xml:space="preserve">η συμπίεση των περιθωρίων κέρδους μπορεί, ελλείψει κάθε αντικειμενικής δικαιολογίας, να συνιστά, αυτή </w:t>
      </w:r>
      <w:proofErr w:type="spellStart"/>
      <w:r w:rsidRPr="005B23F7">
        <w:rPr>
          <w:rFonts w:ascii="Arial" w:hAnsi="Arial" w:cs="Arial"/>
          <w:sz w:val="24"/>
          <w:szCs w:val="24"/>
        </w:rPr>
        <w:t>καθαυτήν</w:t>
      </w:r>
      <w:proofErr w:type="spellEnd"/>
      <w:r w:rsidRPr="005B23F7">
        <w:rPr>
          <w:rFonts w:ascii="Arial" w:hAnsi="Arial" w:cs="Arial"/>
          <w:sz w:val="24"/>
          <w:szCs w:val="24"/>
        </w:rPr>
        <w:t>, κατάχρηση υπό την έννοια του άρθρου 102 Σ</w:t>
      </w:r>
      <w:r w:rsidR="0067361B">
        <w:rPr>
          <w:rFonts w:ascii="Arial" w:hAnsi="Arial" w:cs="Arial"/>
          <w:sz w:val="24"/>
          <w:szCs w:val="24"/>
        </w:rPr>
        <w:t xml:space="preserve">ΛΕΕ, </w:t>
      </w:r>
      <w:r w:rsidR="0067361B" w:rsidRPr="005B23F7">
        <w:rPr>
          <w:rFonts w:ascii="Arial" w:hAnsi="Arial" w:cs="Arial"/>
          <w:sz w:val="24"/>
          <w:szCs w:val="24"/>
        </w:rPr>
        <w:t>λόγω του ότι ενδέχεται να έχει ως αποτέλεσμα τον εκτοπισμό ανταγωνιστών που είναι τουλάχιστον εξίσου αποτελεσματικοί με την κατέχουσα δεσπόζουσα θέση επιχείρηση</w:t>
      </w:r>
      <w:r w:rsidR="0067361B">
        <w:rPr>
          <w:rFonts w:ascii="Arial" w:hAnsi="Arial" w:cs="Arial"/>
          <w:sz w:val="24"/>
          <w:szCs w:val="24"/>
        </w:rPr>
        <w:t>.</w:t>
      </w:r>
    </w:p>
    <w:p w:rsidR="00102DED" w:rsidRPr="005B23F7" w:rsidRDefault="00102DED"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Deutsche</w:t>
      </w:r>
      <w:r w:rsidRPr="005B23F7">
        <w:rPr>
          <w:rFonts w:ascii="Arial" w:hAnsi="Arial" w:cs="Arial"/>
          <w:i/>
          <w:sz w:val="24"/>
          <w:szCs w:val="24"/>
        </w:rPr>
        <w:t xml:space="preserve"> </w:t>
      </w:r>
      <w:r w:rsidRPr="005B23F7">
        <w:rPr>
          <w:rFonts w:ascii="Arial" w:hAnsi="Arial" w:cs="Arial"/>
          <w:i/>
          <w:sz w:val="24"/>
          <w:szCs w:val="24"/>
          <w:lang w:val="en-US"/>
        </w:rPr>
        <w:t>Telekom</w:t>
      </w:r>
      <w:r w:rsidRPr="005B23F7">
        <w:rPr>
          <w:rFonts w:ascii="Arial" w:hAnsi="Arial" w:cs="Arial"/>
          <w:i/>
          <w:sz w:val="24"/>
          <w:szCs w:val="24"/>
        </w:rPr>
        <w:t xml:space="preserve"> (</w:t>
      </w:r>
      <w:proofErr w:type="spellStart"/>
      <w:r w:rsidRPr="005B23F7">
        <w:rPr>
          <w:rFonts w:ascii="Arial" w:hAnsi="Arial" w:cs="Arial"/>
          <w:i/>
          <w:sz w:val="24"/>
          <w:szCs w:val="24"/>
        </w:rPr>
        <w:t>ΓενΔικ</w:t>
      </w:r>
      <w:proofErr w:type="spellEnd"/>
      <w:r w:rsidRPr="005B23F7">
        <w:rPr>
          <w:rFonts w:ascii="Arial" w:hAnsi="Arial" w:cs="Arial"/>
          <w:i/>
          <w:sz w:val="24"/>
          <w:szCs w:val="24"/>
        </w:rPr>
        <w:t>.)</w:t>
      </w:r>
      <w:r w:rsidRPr="005B23F7">
        <w:rPr>
          <w:rFonts w:ascii="Arial" w:hAnsi="Arial" w:cs="Arial"/>
          <w:sz w:val="24"/>
          <w:szCs w:val="24"/>
        </w:rPr>
        <w:t>: «ο καταχρηστικός χαρακτήρας της τιμολογιακής πολιτικής μιας επιχειρήσεως με δεσπόζουσα θέση προσδιορίζεται καταρχήν σε συνάρτηση με την δική της κατάσταση και, επομένως, σε συνάρτηση με τα δικά της τιμολόγια και το δικό της κόστος και όχι σε συνάρτηση με την κατάσταση των υφιστάμενων ή ενδεχόμενων ανταγωνιστών.»</w:t>
      </w:r>
    </w:p>
    <w:p w:rsidR="00102DED" w:rsidRPr="005B23F7" w:rsidRDefault="00102DED"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fr-FR"/>
        </w:rPr>
        <w:t>TeliaSonera</w:t>
      </w:r>
      <w:proofErr w:type="spellEnd"/>
      <w:r w:rsidRPr="005B23F7">
        <w:rPr>
          <w:rFonts w:ascii="Arial" w:hAnsi="Arial" w:cs="Arial"/>
          <w:i/>
          <w:sz w:val="24"/>
          <w:szCs w:val="24"/>
        </w:rPr>
        <w:t xml:space="preserve"> (</w:t>
      </w:r>
      <w:proofErr w:type="spellStart"/>
      <w:r w:rsidRPr="005B23F7">
        <w:rPr>
          <w:rFonts w:ascii="Arial" w:hAnsi="Arial" w:cs="Arial"/>
          <w:i/>
          <w:sz w:val="24"/>
          <w:szCs w:val="24"/>
        </w:rPr>
        <w:t>Δικ</w:t>
      </w:r>
      <w:proofErr w:type="spellEnd"/>
      <w:r w:rsidRPr="005B23F7">
        <w:rPr>
          <w:rFonts w:ascii="Arial" w:hAnsi="Arial" w:cs="Arial"/>
          <w:i/>
          <w:sz w:val="24"/>
          <w:szCs w:val="24"/>
        </w:rPr>
        <w:t>.)</w:t>
      </w:r>
      <w:r w:rsidRPr="005B23F7">
        <w:rPr>
          <w:rFonts w:ascii="Arial" w:hAnsi="Arial" w:cs="Arial"/>
          <w:sz w:val="24"/>
          <w:szCs w:val="24"/>
        </w:rPr>
        <w:t xml:space="preserve">: </w:t>
      </w:r>
      <w:r w:rsidR="002D41BF" w:rsidRPr="005B23F7">
        <w:rPr>
          <w:rFonts w:ascii="Arial" w:hAnsi="Arial" w:cs="Arial"/>
          <w:sz w:val="24"/>
          <w:szCs w:val="24"/>
        </w:rPr>
        <w:t xml:space="preserve">«στο πλαίσιο της εκτιμήσεως του καταχρηστικού χαρακτήρα μιας τιμολογιακής πολιτικής που καταλήγει στη συμπίεση των περιθωρίων κέρδους, πρέπει να λαμβάνονται υπόψη, κατ’ αρχήν και κατά προτεραιότητα, οι τιμές και το κόστος της οικείας επιχειρήσεως στην αγορά των παροχών λιανικής. Μόνον όταν δεν είναι δυνατόν, λόγω των περιστάσεων, να γίνει αναφορά στις εν λόγω τιμές και στο ως </w:t>
      </w:r>
      <w:r w:rsidR="002D41BF" w:rsidRPr="005B23F7">
        <w:rPr>
          <w:rFonts w:ascii="Arial" w:hAnsi="Arial" w:cs="Arial"/>
          <w:sz w:val="24"/>
          <w:szCs w:val="24"/>
        </w:rPr>
        <w:lastRenderedPageBreak/>
        <w:t>άνω κόστος, πρέπει να εξετάζονται οι τιμές και το κόστος των ανταγωνιστών στην ίδια αυτή αγορά.»</w:t>
      </w:r>
    </w:p>
    <w:p w:rsidR="00C57148" w:rsidRPr="005B23F7" w:rsidRDefault="00C57148" w:rsidP="0055297E">
      <w:pPr>
        <w:spacing w:after="0" w:line="240" w:lineRule="auto"/>
        <w:jc w:val="both"/>
        <w:rPr>
          <w:rFonts w:ascii="Arial" w:hAnsi="Arial" w:cs="Arial"/>
          <w:b/>
          <w:sz w:val="24"/>
          <w:szCs w:val="24"/>
        </w:rPr>
      </w:pPr>
    </w:p>
    <w:p w:rsidR="002D41BF" w:rsidRPr="005B23F7" w:rsidRDefault="002D41BF" w:rsidP="0055297E">
      <w:pPr>
        <w:pStyle w:val="a3"/>
        <w:numPr>
          <w:ilvl w:val="0"/>
          <w:numId w:val="9"/>
        </w:numPr>
        <w:spacing w:after="0" w:line="240" w:lineRule="auto"/>
        <w:ind w:left="709"/>
        <w:jc w:val="both"/>
        <w:rPr>
          <w:rFonts w:ascii="Arial" w:hAnsi="Arial" w:cs="Arial"/>
          <w:b/>
          <w:sz w:val="24"/>
          <w:szCs w:val="24"/>
        </w:rPr>
      </w:pPr>
      <w:r w:rsidRPr="005B23F7">
        <w:rPr>
          <w:rFonts w:ascii="Arial" w:hAnsi="Arial" w:cs="Arial"/>
          <w:b/>
          <w:sz w:val="24"/>
          <w:szCs w:val="24"/>
        </w:rPr>
        <w:t>Άρνηση συναλλαγής</w:t>
      </w:r>
    </w:p>
    <w:p w:rsidR="002D41BF" w:rsidRPr="005B23F7" w:rsidRDefault="002D41BF"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Αποφάσεις</w:t>
      </w:r>
      <w:r w:rsidRPr="005B23F7">
        <w:rPr>
          <w:rFonts w:ascii="Arial" w:hAnsi="Arial" w:cs="Arial"/>
          <w:b/>
          <w:sz w:val="24"/>
          <w:szCs w:val="24"/>
        </w:rPr>
        <w:t xml:space="preserve"> </w:t>
      </w:r>
      <w:r w:rsidRPr="005B23F7">
        <w:rPr>
          <w:rFonts w:ascii="Arial" w:hAnsi="Arial" w:cs="Arial"/>
          <w:i/>
          <w:sz w:val="24"/>
          <w:szCs w:val="24"/>
          <w:lang w:val="en-US"/>
        </w:rPr>
        <w:t>Commercial</w:t>
      </w:r>
      <w:r w:rsidRPr="005B23F7">
        <w:rPr>
          <w:rFonts w:ascii="Arial" w:hAnsi="Arial" w:cs="Arial"/>
          <w:i/>
          <w:sz w:val="24"/>
          <w:szCs w:val="24"/>
        </w:rPr>
        <w:t xml:space="preserve"> </w:t>
      </w:r>
      <w:r w:rsidRPr="005B23F7">
        <w:rPr>
          <w:rFonts w:ascii="Arial" w:hAnsi="Arial" w:cs="Arial"/>
          <w:i/>
          <w:sz w:val="24"/>
          <w:szCs w:val="24"/>
          <w:lang w:val="en-US"/>
        </w:rPr>
        <w:t>Solvents</w:t>
      </w:r>
      <w:r w:rsidRPr="005B23F7">
        <w:rPr>
          <w:rFonts w:ascii="Arial" w:hAnsi="Arial" w:cs="Arial"/>
          <w:sz w:val="24"/>
          <w:szCs w:val="24"/>
        </w:rPr>
        <w:t xml:space="preserve">, </w:t>
      </w:r>
      <w:r w:rsidRPr="005B23F7">
        <w:rPr>
          <w:rFonts w:ascii="Arial" w:hAnsi="Arial" w:cs="Arial"/>
          <w:i/>
          <w:sz w:val="24"/>
          <w:szCs w:val="24"/>
          <w:lang w:val="en-US"/>
        </w:rPr>
        <w:t>United</w:t>
      </w:r>
      <w:r w:rsidRPr="005B23F7">
        <w:rPr>
          <w:rFonts w:ascii="Arial" w:hAnsi="Arial" w:cs="Arial"/>
          <w:i/>
          <w:sz w:val="24"/>
          <w:szCs w:val="24"/>
        </w:rPr>
        <w:t xml:space="preserve"> </w:t>
      </w:r>
      <w:r w:rsidRPr="005B23F7">
        <w:rPr>
          <w:rFonts w:ascii="Arial" w:hAnsi="Arial" w:cs="Arial"/>
          <w:i/>
          <w:sz w:val="24"/>
          <w:szCs w:val="24"/>
          <w:lang w:val="en-US"/>
        </w:rPr>
        <w:t>Brands</w:t>
      </w:r>
      <w:r w:rsidRPr="005B23F7">
        <w:rPr>
          <w:rFonts w:ascii="Arial" w:hAnsi="Arial" w:cs="Arial"/>
          <w:sz w:val="24"/>
          <w:szCs w:val="24"/>
        </w:rPr>
        <w:t xml:space="preserve"> και </w:t>
      </w:r>
      <w:proofErr w:type="spellStart"/>
      <w:r w:rsidRPr="005B23F7">
        <w:rPr>
          <w:rFonts w:ascii="Arial" w:hAnsi="Arial" w:cs="Arial"/>
          <w:i/>
          <w:sz w:val="24"/>
          <w:szCs w:val="24"/>
          <w:lang w:val="en-US"/>
        </w:rPr>
        <w:t>Benzine</w:t>
      </w:r>
      <w:proofErr w:type="spellEnd"/>
      <w:r w:rsidRPr="005B23F7">
        <w:rPr>
          <w:rFonts w:ascii="Arial" w:hAnsi="Arial" w:cs="Arial"/>
          <w:i/>
          <w:sz w:val="24"/>
          <w:szCs w:val="24"/>
        </w:rPr>
        <w:t xml:space="preserve"> </w:t>
      </w:r>
      <w:r w:rsidRPr="005B23F7">
        <w:rPr>
          <w:rFonts w:ascii="Arial" w:hAnsi="Arial" w:cs="Arial"/>
          <w:i/>
          <w:sz w:val="24"/>
          <w:szCs w:val="24"/>
          <w:lang w:val="en-US"/>
        </w:rPr>
        <w:t>en</w:t>
      </w:r>
      <w:r w:rsidRPr="005B23F7">
        <w:rPr>
          <w:rFonts w:ascii="Arial" w:hAnsi="Arial" w:cs="Arial"/>
          <w:i/>
          <w:sz w:val="24"/>
          <w:szCs w:val="24"/>
        </w:rPr>
        <w:t xml:space="preserve"> </w:t>
      </w:r>
      <w:r w:rsidRPr="005B23F7">
        <w:rPr>
          <w:rFonts w:ascii="Arial" w:hAnsi="Arial" w:cs="Arial"/>
          <w:i/>
          <w:sz w:val="24"/>
          <w:szCs w:val="24"/>
          <w:lang w:val="en-US"/>
        </w:rPr>
        <w:t>Petroleum</w:t>
      </w:r>
      <w:r w:rsidRPr="005B23F7">
        <w:rPr>
          <w:rFonts w:ascii="Arial" w:hAnsi="Arial" w:cs="Arial"/>
          <w:i/>
          <w:sz w:val="24"/>
          <w:szCs w:val="24"/>
        </w:rPr>
        <w:t xml:space="preserve"> (</w:t>
      </w:r>
      <w:proofErr w:type="spellStart"/>
      <w:r w:rsidRPr="005B23F7">
        <w:rPr>
          <w:rFonts w:ascii="Arial" w:hAnsi="Arial" w:cs="Arial"/>
          <w:i/>
          <w:sz w:val="24"/>
          <w:szCs w:val="24"/>
        </w:rPr>
        <w:t>Δικ</w:t>
      </w:r>
      <w:proofErr w:type="spellEnd"/>
      <w:r w:rsidRPr="005B23F7">
        <w:rPr>
          <w:rFonts w:ascii="Arial" w:hAnsi="Arial" w:cs="Arial"/>
          <w:i/>
          <w:sz w:val="24"/>
          <w:szCs w:val="24"/>
        </w:rPr>
        <w:t>.)</w:t>
      </w:r>
      <w:r w:rsidRPr="005B23F7">
        <w:rPr>
          <w:rFonts w:ascii="Arial" w:hAnsi="Arial" w:cs="Arial"/>
          <w:sz w:val="24"/>
          <w:szCs w:val="24"/>
        </w:rPr>
        <w:t xml:space="preserve">: Η </w:t>
      </w:r>
      <w:proofErr w:type="spellStart"/>
      <w:r w:rsidRPr="005B23F7">
        <w:rPr>
          <w:rFonts w:ascii="Arial" w:hAnsi="Arial" w:cs="Arial"/>
          <w:sz w:val="24"/>
          <w:szCs w:val="24"/>
        </w:rPr>
        <w:t>καταχρηστικότητα</w:t>
      </w:r>
      <w:proofErr w:type="spellEnd"/>
      <w:r w:rsidRPr="005B23F7">
        <w:rPr>
          <w:rFonts w:ascii="Arial" w:hAnsi="Arial" w:cs="Arial"/>
          <w:sz w:val="24"/>
          <w:szCs w:val="24"/>
        </w:rPr>
        <w:t xml:space="preserve"> της άρνησης συναλλαγής στηρίζεται στην οικονομική φύσης αντίληψη ότι οι δεσπόζουσες επιχειρήσεις</w:t>
      </w:r>
      <w:r w:rsidR="00411DAA">
        <w:rPr>
          <w:rFonts w:ascii="Arial" w:hAnsi="Arial" w:cs="Arial"/>
          <w:sz w:val="24"/>
          <w:szCs w:val="24"/>
        </w:rPr>
        <w:t>,</w:t>
      </w:r>
      <w:r w:rsidRPr="005B23F7">
        <w:rPr>
          <w:rFonts w:ascii="Arial" w:hAnsi="Arial" w:cs="Arial"/>
          <w:sz w:val="24"/>
          <w:szCs w:val="24"/>
        </w:rPr>
        <w:t xml:space="preserve"> λόγω της οικονομικής ισχύος </w:t>
      </w:r>
      <w:r w:rsidR="00411DAA">
        <w:rPr>
          <w:rFonts w:ascii="Arial" w:hAnsi="Arial" w:cs="Arial"/>
          <w:sz w:val="24"/>
          <w:szCs w:val="24"/>
        </w:rPr>
        <w:t>τους,</w:t>
      </w:r>
      <w:r w:rsidRPr="005B23F7">
        <w:rPr>
          <w:rFonts w:ascii="Arial" w:hAnsi="Arial" w:cs="Arial"/>
          <w:sz w:val="24"/>
          <w:szCs w:val="24"/>
        </w:rPr>
        <w:t xml:space="preserve"> ασκούν σημαντική επίδραση στον ανταγωνισμό στις δευτερογενείς αγορές και για το λόγο αυτό υπέχουν μια ιδιαίτερη υποχρέωση να συναλλάσσονται με μικρότερης ισχύος ανταγωνιστές στις εν λόγω αγορές.</w:t>
      </w:r>
    </w:p>
    <w:p w:rsidR="002D41BF" w:rsidRPr="005B23F7" w:rsidRDefault="002D41BF"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T</w:t>
      </w:r>
      <w:r w:rsidRPr="005B23F7">
        <w:rPr>
          <w:rFonts w:ascii="Arial" w:hAnsi="Arial" w:cs="Arial"/>
          <w:i/>
          <w:sz w:val="24"/>
          <w:szCs w:val="24"/>
        </w:rPr>
        <w:t>é</w:t>
      </w:r>
      <w:r w:rsidRPr="005B23F7">
        <w:rPr>
          <w:rFonts w:ascii="Arial" w:hAnsi="Arial" w:cs="Arial"/>
          <w:i/>
          <w:sz w:val="24"/>
          <w:szCs w:val="24"/>
          <w:lang w:val="en-US"/>
        </w:rPr>
        <w:t>l</w:t>
      </w:r>
      <w:r w:rsidRPr="005B23F7">
        <w:rPr>
          <w:rFonts w:ascii="Arial" w:hAnsi="Arial" w:cs="Arial"/>
          <w:i/>
          <w:sz w:val="24"/>
          <w:szCs w:val="24"/>
        </w:rPr>
        <w:t>é</w:t>
      </w:r>
      <w:r w:rsidRPr="005B23F7">
        <w:rPr>
          <w:rFonts w:ascii="Arial" w:hAnsi="Arial" w:cs="Arial"/>
          <w:i/>
          <w:sz w:val="24"/>
          <w:szCs w:val="24"/>
          <w:lang w:val="en-US"/>
        </w:rPr>
        <w:t>marketing</w:t>
      </w:r>
      <w:r w:rsidRPr="005B23F7">
        <w:rPr>
          <w:rFonts w:ascii="Arial" w:hAnsi="Arial" w:cs="Arial"/>
          <w:i/>
          <w:sz w:val="24"/>
          <w:szCs w:val="24"/>
        </w:rPr>
        <w:t xml:space="preserve"> (</w:t>
      </w:r>
      <w:proofErr w:type="spellStart"/>
      <w:r w:rsidRPr="005B23F7">
        <w:rPr>
          <w:rFonts w:ascii="Arial" w:hAnsi="Arial" w:cs="Arial"/>
          <w:i/>
          <w:sz w:val="24"/>
          <w:szCs w:val="24"/>
        </w:rPr>
        <w:t>Δικ</w:t>
      </w:r>
      <w:proofErr w:type="spellEnd"/>
      <w:r w:rsidRPr="005B23F7">
        <w:rPr>
          <w:rFonts w:ascii="Arial" w:hAnsi="Arial" w:cs="Arial"/>
          <w:i/>
          <w:sz w:val="24"/>
          <w:szCs w:val="24"/>
        </w:rPr>
        <w:t>.)</w:t>
      </w:r>
      <w:r w:rsidRPr="005B23F7">
        <w:rPr>
          <w:rFonts w:ascii="Arial" w:hAnsi="Arial" w:cs="Arial"/>
          <w:sz w:val="24"/>
          <w:szCs w:val="24"/>
        </w:rPr>
        <w:t xml:space="preserve">: η αναγκαιότητα της εισροής για τη δραστηριοποίηση των ανταγωνιστών στη δευτερογενή αγορά και η πραγματική ή η ενδεχόμενη εξάλειψη του ανταγωνισμού στη δευτερογενή αγορά ως συνέπεια της άρνησης συναλλαγής συνιστούν προϋποθέσεις για την </w:t>
      </w:r>
      <w:proofErr w:type="spellStart"/>
      <w:r w:rsidRPr="005B23F7">
        <w:rPr>
          <w:rFonts w:ascii="Arial" w:hAnsi="Arial" w:cs="Arial"/>
          <w:sz w:val="24"/>
          <w:szCs w:val="24"/>
        </w:rPr>
        <w:t>καταχρηστικότητα</w:t>
      </w:r>
      <w:proofErr w:type="spellEnd"/>
      <w:r w:rsidRPr="005B23F7">
        <w:rPr>
          <w:rFonts w:ascii="Arial" w:hAnsi="Arial" w:cs="Arial"/>
          <w:sz w:val="24"/>
          <w:szCs w:val="24"/>
        </w:rPr>
        <w:t xml:space="preserve"> της άρνησης συναλλαγής</w:t>
      </w:r>
    </w:p>
    <w:p w:rsidR="002D41BF" w:rsidRPr="005B23F7" w:rsidRDefault="00F018B1"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Ladbroke</w:t>
      </w:r>
      <w:r w:rsidRPr="005B23F7">
        <w:rPr>
          <w:rFonts w:ascii="Arial" w:hAnsi="Arial" w:cs="Arial"/>
          <w:i/>
          <w:sz w:val="24"/>
          <w:szCs w:val="24"/>
        </w:rPr>
        <w:t xml:space="preserve"> (</w:t>
      </w:r>
      <w:proofErr w:type="spellStart"/>
      <w:r w:rsidRPr="005B23F7">
        <w:rPr>
          <w:rFonts w:ascii="Arial" w:hAnsi="Arial" w:cs="Arial"/>
          <w:i/>
          <w:sz w:val="24"/>
          <w:szCs w:val="24"/>
        </w:rPr>
        <w:t>ΓενΔικ</w:t>
      </w:r>
      <w:proofErr w:type="spellEnd"/>
      <w:r w:rsidRPr="005B23F7">
        <w:rPr>
          <w:rFonts w:ascii="Arial" w:hAnsi="Arial" w:cs="Arial"/>
          <w:i/>
          <w:sz w:val="24"/>
          <w:szCs w:val="24"/>
        </w:rPr>
        <w:t>.)</w:t>
      </w:r>
      <w:r w:rsidRPr="005B23F7">
        <w:rPr>
          <w:rFonts w:ascii="Arial" w:hAnsi="Arial" w:cs="Arial"/>
          <w:sz w:val="24"/>
          <w:szCs w:val="24"/>
        </w:rPr>
        <w:t>: η αναγκαιότητα της εισροής γίνεται δεκτή μόνο στην έκταση στην οποία η εισροή αυτή έχει επίδραση στην ανάπτυξη του πραγματικού ή εν δυνάμει αποτελεσματικού ανταγωνισμού στην επίμαχη αγορά.</w:t>
      </w:r>
    </w:p>
    <w:p w:rsidR="00F018B1" w:rsidRPr="005B23F7" w:rsidRDefault="00F018B1"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proofErr w:type="spellStart"/>
      <w:r w:rsidRPr="005B23F7">
        <w:rPr>
          <w:rFonts w:ascii="Arial" w:hAnsi="Arial" w:cs="Arial"/>
          <w:i/>
          <w:sz w:val="24"/>
          <w:szCs w:val="24"/>
          <w:lang w:val="en-US"/>
        </w:rPr>
        <w:t>Bronner</w:t>
      </w:r>
      <w:proofErr w:type="spellEnd"/>
      <w:r w:rsidRPr="005B23F7">
        <w:rPr>
          <w:rFonts w:ascii="Arial" w:hAnsi="Arial" w:cs="Arial"/>
          <w:i/>
          <w:sz w:val="24"/>
          <w:szCs w:val="24"/>
        </w:rPr>
        <w:t xml:space="preserve"> (</w:t>
      </w:r>
      <w:proofErr w:type="spellStart"/>
      <w:r w:rsidRPr="005B23F7">
        <w:rPr>
          <w:rFonts w:ascii="Arial" w:hAnsi="Arial" w:cs="Arial"/>
          <w:i/>
          <w:sz w:val="24"/>
          <w:szCs w:val="24"/>
        </w:rPr>
        <w:t>Δικ</w:t>
      </w:r>
      <w:proofErr w:type="spellEnd"/>
      <w:r w:rsidRPr="005B23F7">
        <w:rPr>
          <w:rFonts w:ascii="Arial" w:hAnsi="Arial" w:cs="Arial"/>
          <w:i/>
          <w:sz w:val="24"/>
          <w:szCs w:val="24"/>
        </w:rPr>
        <w:t>)</w:t>
      </w:r>
      <w:r w:rsidRPr="005B23F7">
        <w:rPr>
          <w:rFonts w:ascii="Arial" w:hAnsi="Arial" w:cs="Arial"/>
          <w:sz w:val="24"/>
          <w:szCs w:val="24"/>
        </w:rPr>
        <w:t>: η προϋπόθεση της αναγκαιότητας συντρέχει εφόσον, πρώτον, δεν υφίσταται κανένα πραγματικό ή δυνητικό υποκατάστατο της εισροής και, δεύτερον, υπάρχουν εμπόδια στην ανάπτυξη εν δυνάμει υποκατάστατων της εισροής.</w:t>
      </w:r>
    </w:p>
    <w:p w:rsidR="00F018B1" w:rsidRPr="005B23F7" w:rsidRDefault="00F018B1"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IMS</w:t>
      </w:r>
      <w:r w:rsidRPr="005B23F7">
        <w:rPr>
          <w:rFonts w:ascii="Arial" w:hAnsi="Arial" w:cs="Arial"/>
          <w:i/>
          <w:sz w:val="24"/>
          <w:szCs w:val="24"/>
        </w:rPr>
        <w:t xml:space="preserve"> </w:t>
      </w:r>
      <w:r w:rsidRPr="005B23F7">
        <w:rPr>
          <w:rFonts w:ascii="Arial" w:hAnsi="Arial" w:cs="Arial"/>
          <w:i/>
          <w:sz w:val="24"/>
          <w:szCs w:val="24"/>
          <w:lang w:val="en-US"/>
        </w:rPr>
        <w:t>Health</w:t>
      </w:r>
      <w:r w:rsidRPr="005B23F7">
        <w:rPr>
          <w:rFonts w:ascii="Arial" w:hAnsi="Arial" w:cs="Arial"/>
          <w:sz w:val="24"/>
          <w:szCs w:val="24"/>
        </w:rPr>
        <w:t xml:space="preserve"> </w:t>
      </w:r>
      <w:r w:rsidRPr="005B23F7">
        <w:rPr>
          <w:rFonts w:ascii="Arial" w:hAnsi="Arial" w:cs="Arial"/>
          <w:i/>
          <w:sz w:val="24"/>
          <w:szCs w:val="24"/>
        </w:rPr>
        <w:t>(</w:t>
      </w:r>
      <w:proofErr w:type="spellStart"/>
      <w:r w:rsidRPr="005B23F7">
        <w:rPr>
          <w:rFonts w:ascii="Arial" w:hAnsi="Arial" w:cs="Arial"/>
          <w:i/>
          <w:sz w:val="24"/>
          <w:szCs w:val="24"/>
        </w:rPr>
        <w:t>Δικ</w:t>
      </w:r>
      <w:proofErr w:type="spellEnd"/>
      <w:r w:rsidRPr="005B23F7">
        <w:rPr>
          <w:rFonts w:ascii="Arial" w:hAnsi="Arial" w:cs="Arial"/>
          <w:i/>
          <w:sz w:val="24"/>
          <w:szCs w:val="24"/>
        </w:rPr>
        <w:t>)</w:t>
      </w:r>
      <w:r w:rsidRPr="005B23F7">
        <w:rPr>
          <w:rFonts w:ascii="Arial" w:hAnsi="Arial" w:cs="Arial"/>
          <w:sz w:val="24"/>
          <w:szCs w:val="24"/>
        </w:rPr>
        <w:t>: η προϋπόθεση της αναγκαιότητας συντρέχει και όταν οι χρήστες της αιτούμενης εισροής είναι αναγκασμένοι να τη χρησιμοποιούν λόγω του ότι η καταφυγή σε μια εναλλακτική εισροή θα σήμαινε ιδιαίτερα μεγάλες δαπάνες για τους εν λόγω χρήστες.</w:t>
      </w:r>
    </w:p>
    <w:p w:rsidR="00F018B1" w:rsidRPr="005B23F7" w:rsidRDefault="00F018B1"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Magill</w:t>
      </w:r>
      <w:r w:rsidR="00DC4653" w:rsidRPr="005B23F7">
        <w:rPr>
          <w:rFonts w:ascii="Arial" w:hAnsi="Arial" w:cs="Arial"/>
          <w:i/>
          <w:sz w:val="24"/>
          <w:szCs w:val="24"/>
        </w:rPr>
        <w:t xml:space="preserve"> (</w:t>
      </w:r>
      <w:proofErr w:type="spellStart"/>
      <w:r w:rsidR="00DC4653" w:rsidRPr="005B23F7">
        <w:rPr>
          <w:rFonts w:ascii="Arial" w:hAnsi="Arial" w:cs="Arial"/>
          <w:i/>
          <w:sz w:val="24"/>
          <w:szCs w:val="24"/>
        </w:rPr>
        <w:t>ΓενΔικ</w:t>
      </w:r>
      <w:proofErr w:type="spellEnd"/>
      <w:r w:rsidR="00DC4653" w:rsidRPr="005B23F7">
        <w:rPr>
          <w:rFonts w:ascii="Arial" w:hAnsi="Arial" w:cs="Arial"/>
          <w:i/>
          <w:sz w:val="24"/>
          <w:szCs w:val="24"/>
        </w:rPr>
        <w:t xml:space="preserve">. &amp; </w:t>
      </w:r>
      <w:proofErr w:type="spellStart"/>
      <w:r w:rsidR="00DC4653" w:rsidRPr="005B23F7">
        <w:rPr>
          <w:rFonts w:ascii="Arial" w:hAnsi="Arial" w:cs="Arial"/>
          <w:i/>
          <w:sz w:val="24"/>
          <w:szCs w:val="24"/>
        </w:rPr>
        <w:t>Δι</w:t>
      </w:r>
      <w:proofErr w:type="spellEnd"/>
      <w:r w:rsidR="00DC4653" w:rsidRPr="005B23F7">
        <w:rPr>
          <w:rFonts w:ascii="Arial" w:hAnsi="Arial" w:cs="Arial"/>
          <w:i/>
          <w:sz w:val="24"/>
          <w:szCs w:val="24"/>
        </w:rPr>
        <w:t>.)</w:t>
      </w:r>
      <w:r w:rsidRPr="005B23F7">
        <w:rPr>
          <w:rFonts w:ascii="Arial" w:hAnsi="Arial" w:cs="Arial"/>
          <w:sz w:val="24"/>
          <w:szCs w:val="24"/>
        </w:rPr>
        <w:t xml:space="preserve">: Η άρνηση παραχώρησης άδειας εκμετάλλευσης δικαιώματος διανοητικής ιδιοκτησίας είναι καταχρηστική εφόσον συντρέχουν οι εξής προϋποθέσεις: α) Αναγκαιότητα για την παραχώρηση της άδειας, β) παρεμπόδιση της παραγωγής και της διαθέσεως ενός νέου προϊόντος, </w:t>
      </w:r>
      <w:r w:rsidR="00411DAA">
        <w:rPr>
          <w:rFonts w:ascii="Arial" w:hAnsi="Arial" w:cs="Arial"/>
          <w:sz w:val="24"/>
          <w:szCs w:val="24"/>
        </w:rPr>
        <w:t>για το οποίο υφίσταται δυνητική</w:t>
      </w:r>
      <w:r w:rsidRPr="005B23F7">
        <w:rPr>
          <w:rFonts w:ascii="Arial" w:hAnsi="Arial" w:cs="Arial"/>
          <w:sz w:val="24"/>
          <w:szCs w:val="24"/>
        </w:rPr>
        <w:t xml:space="preserve"> ζήτηση εκ μέρους των καταναλωτών, γ) απουσία αντικειμενικής αιτιολόγησης και δ) αποκλεισμός του ανταγωνισμού στη δευτερογενή αγορά.</w:t>
      </w:r>
    </w:p>
    <w:p w:rsidR="00E02A10" w:rsidRPr="005B23F7" w:rsidRDefault="00E02A10"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Αποφάσεις</w:t>
      </w:r>
      <w:r w:rsidR="00DC4653" w:rsidRPr="005B23F7">
        <w:rPr>
          <w:rFonts w:ascii="Arial" w:hAnsi="Arial" w:cs="Arial"/>
          <w:sz w:val="24"/>
          <w:szCs w:val="24"/>
        </w:rPr>
        <w:t xml:space="preserve"> </w:t>
      </w:r>
      <w:r w:rsidR="00DC4653" w:rsidRPr="005B23F7">
        <w:rPr>
          <w:rFonts w:ascii="Arial" w:hAnsi="Arial" w:cs="Arial"/>
          <w:i/>
          <w:sz w:val="24"/>
          <w:szCs w:val="24"/>
          <w:lang w:val="en-US"/>
        </w:rPr>
        <w:t>IMS</w:t>
      </w:r>
      <w:r w:rsidR="00DC4653" w:rsidRPr="005B23F7">
        <w:rPr>
          <w:rFonts w:ascii="Arial" w:hAnsi="Arial" w:cs="Arial"/>
          <w:i/>
          <w:sz w:val="24"/>
          <w:szCs w:val="24"/>
        </w:rPr>
        <w:t xml:space="preserve"> </w:t>
      </w:r>
      <w:r w:rsidR="00DC4653" w:rsidRPr="005B23F7">
        <w:rPr>
          <w:rFonts w:ascii="Arial" w:hAnsi="Arial" w:cs="Arial"/>
          <w:i/>
          <w:sz w:val="24"/>
          <w:szCs w:val="24"/>
          <w:lang w:val="en-US"/>
        </w:rPr>
        <w:t>Health</w:t>
      </w:r>
      <w:r w:rsidR="00DC4653" w:rsidRPr="005B23F7">
        <w:rPr>
          <w:rFonts w:ascii="Arial" w:hAnsi="Arial" w:cs="Arial"/>
          <w:sz w:val="24"/>
          <w:szCs w:val="24"/>
        </w:rPr>
        <w:t xml:space="preserve"> </w:t>
      </w:r>
      <w:r w:rsidR="00DC4653" w:rsidRPr="005B23F7">
        <w:rPr>
          <w:rFonts w:ascii="Arial" w:hAnsi="Arial" w:cs="Arial"/>
          <w:i/>
          <w:sz w:val="24"/>
          <w:szCs w:val="24"/>
        </w:rPr>
        <w:t>(</w:t>
      </w:r>
      <w:proofErr w:type="spellStart"/>
      <w:r w:rsidR="00DC4653" w:rsidRPr="005B23F7">
        <w:rPr>
          <w:rFonts w:ascii="Arial" w:hAnsi="Arial" w:cs="Arial"/>
          <w:i/>
          <w:sz w:val="24"/>
          <w:szCs w:val="24"/>
        </w:rPr>
        <w:t>Δικ</w:t>
      </w:r>
      <w:proofErr w:type="spellEnd"/>
      <w:r w:rsidR="00DC4653" w:rsidRPr="005B23F7">
        <w:rPr>
          <w:rFonts w:ascii="Arial" w:hAnsi="Arial" w:cs="Arial"/>
          <w:i/>
          <w:sz w:val="24"/>
          <w:szCs w:val="24"/>
        </w:rPr>
        <w:t>)</w:t>
      </w:r>
      <w:r w:rsidRPr="005B23F7">
        <w:rPr>
          <w:rFonts w:ascii="Arial" w:hAnsi="Arial" w:cs="Arial"/>
          <w:i/>
          <w:sz w:val="24"/>
          <w:szCs w:val="24"/>
        </w:rPr>
        <w:t xml:space="preserve"> </w:t>
      </w:r>
      <w:r w:rsidRPr="005B23F7">
        <w:rPr>
          <w:rFonts w:ascii="Arial" w:hAnsi="Arial" w:cs="Arial"/>
          <w:sz w:val="24"/>
          <w:szCs w:val="24"/>
        </w:rPr>
        <w:t xml:space="preserve">και </w:t>
      </w:r>
      <w:r w:rsidRPr="005B23F7">
        <w:rPr>
          <w:rFonts w:ascii="Arial" w:hAnsi="Arial" w:cs="Arial"/>
          <w:i/>
          <w:sz w:val="24"/>
          <w:szCs w:val="24"/>
          <w:lang w:val="en-US"/>
        </w:rPr>
        <w:t>Microsoft</w:t>
      </w:r>
      <w:r w:rsidRPr="005B23F7">
        <w:rPr>
          <w:rFonts w:ascii="Arial" w:hAnsi="Arial" w:cs="Arial"/>
          <w:i/>
          <w:sz w:val="24"/>
          <w:szCs w:val="24"/>
        </w:rPr>
        <w:t xml:space="preserve"> </w:t>
      </w:r>
      <w:r w:rsidRPr="005B23F7">
        <w:rPr>
          <w:rFonts w:ascii="Arial" w:hAnsi="Arial" w:cs="Arial"/>
          <w:i/>
          <w:sz w:val="24"/>
          <w:szCs w:val="24"/>
          <w:lang w:val="en-US"/>
        </w:rPr>
        <w:t>I</w:t>
      </w:r>
      <w:r w:rsidRPr="005B23F7">
        <w:rPr>
          <w:rFonts w:ascii="Arial" w:hAnsi="Arial" w:cs="Arial"/>
          <w:i/>
          <w:sz w:val="24"/>
          <w:szCs w:val="24"/>
        </w:rPr>
        <w:t xml:space="preserve"> (</w:t>
      </w:r>
      <w:proofErr w:type="spellStart"/>
      <w:r w:rsidRPr="005B23F7">
        <w:rPr>
          <w:rFonts w:ascii="Arial" w:hAnsi="Arial" w:cs="Arial"/>
          <w:i/>
          <w:sz w:val="24"/>
          <w:szCs w:val="24"/>
        </w:rPr>
        <w:t>ΓενΔικ</w:t>
      </w:r>
      <w:proofErr w:type="spellEnd"/>
      <w:r w:rsidRPr="005B23F7">
        <w:rPr>
          <w:rFonts w:ascii="Arial" w:hAnsi="Arial" w:cs="Arial"/>
          <w:i/>
          <w:sz w:val="24"/>
          <w:szCs w:val="24"/>
        </w:rPr>
        <w:t>.)</w:t>
      </w:r>
      <w:r w:rsidRPr="005B23F7">
        <w:rPr>
          <w:rFonts w:ascii="Arial" w:hAnsi="Arial" w:cs="Arial"/>
          <w:sz w:val="24"/>
          <w:szCs w:val="24"/>
        </w:rPr>
        <w:t>: ανάλυση της προϋπόθεσης «παρεμπόδιση της παραγωγής και της διαθέσεως ενός νέου προϊόντος, για το οποίο υφίσταται, δυνάμει, ζήτηση εκ μέρους των καταναλωτών»</w:t>
      </w:r>
    </w:p>
    <w:p w:rsidR="00DC4653" w:rsidRPr="005B23F7" w:rsidRDefault="00E02A10"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Microsoft</w:t>
      </w:r>
      <w:r w:rsidRPr="005B23F7">
        <w:rPr>
          <w:rFonts w:ascii="Arial" w:hAnsi="Arial" w:cs="Arial"/>
          <w:i/>
          <w:sz w:val="24"/>
          <w:szCs w:val="24"/>
        </w:rPr>
        <w:t xml:space="preserve"> </w:t>
      </w:r>
      <w:r w:rsidRPr="005B23F7">
        <w:rPr>
          <w:rFonts w:ascii="Arial" w:hAnsi="Arial" w:cs="Arial"/>
          <w:i/>
          <w:sz w:val="24"/>
          <w:szCs w:val="24"/>
          <w:lang w:val="en-US"/>
        </w:rPr>
        <w:t>I</w:t>
      </w:r>
      <w:r w:rsidRPr="005B23F7">
        <w:rPr>
          <w:rFonts w:ascii="Arial" w:hAnsi="Arial" w:cs="Arial"/>
          <w:i/>
          <w:sz w:val="24"/>
          <w:szCs w:val="24"/>
        </w:rPr>
        <w:t xml:space="preserve"> (</w:t>
      </w:r>
      <w:proofErr w:type="spellStart"/>
      <w:r w:rsidRPr="005B23F7">
        <w:rPr>
          <w:rFonts w:ascii="Arial" w:hAnsi="Arial" w:cs="Arial"/>
          <w:i/>
          <w:sz w:val="24"/>
          <w:szCs w:val="24"/>
        </w:rPr>
        <w:t>ΓενΔικ</w:t>
      </w:r>
      <w:proofErr w:type="spellEnd"/>
      <w:r w:rsidRPr="005B23F7">
        <w:rPr>
          <w:rFonts w:ascii="Arial" w:hAnsi="Arial" w:cs="Arial"/>
          <w:i/>
          <w:sz w:val="24"/>
          <w:szCs w:val="24"/>
        </w:rPr>
        <w:t>.)</w:t>
      </w:r>
      <w:r w:rsidRPr="005B23F7">
        <w:rPr>
          <w:rFonts w:ascii="Arial" w:hAnsi="Arial" w:cs="Arial"/>
          <w:sz w:val="24"/>
          <w:szCs w:val="24"/>
        </w:rPr>
        <w:t xml:space="preserve">: </w:t>
      </w:r>
      <w:r w:rsidR="00AE7A16" w:rsidRPr="005B23F7">
        <w:rPr>
          <w:rFonts w:ascii="Arial" w:hAnsi="Arial" w:cs="Arial"/>
          <w:sz w:val="24"/>
          <w:szCs w:val="24"/>
        </w:rPr>
        <w:t>ανάλυση της προϋπόθεσης του αποκλεισμού του ανταγωνισμού στη δευτερογενή αγορά</w:t>
      </w:r>
      <w:r w:rsidRPr="005B23F7">
        <w:rPr>
          <w:rFonts w:ascii="Arial" w:hAnsi="Arial" w:cs="Arial"/>
          <w:sz w:val="24"/>
          <w:szCs w:val="24"/>
        </w:rPr>
        <w:t xml:space="preserve">   </w:t>
      </w:r>
    </w:p>
    <w:p w:rsidR="00DC4653" w:rsidRPr="005B23F7" w:rsidRDefault="00DC4653" w:rsidP="0055297E">
      <w:pPr>
        <w:pStyle w:val="a3"/>
        <w:spacing w:after="0" w:line="240" w:lineRule="auto"/>
        <w:ind w:left="709"/>
        <w:jc w:val="both"/>
        <w:rPr>
          <w:rFonts w:ascii="Arial" w:hAnsi="Arial" w:cs="Arial"/>
          <w:b/>
          <w:sz w:val="24"/>
          <w:szCs w:val="24"/>
        </w:rPr>
      </w:pPr>
    </w:p>
    <w:p w:rsidR="00DC4653" w:rsidRPr="005B23F7" w:rsidRDefault="00DC4653" w:rsidP="0055297E">
      <w:pPr>
        <w:pStyle w:val="a3"/>
        <w:numPr>
          <w:ilvl w:val="0"/>
          <w:numId w:val="9"/>
        </w:numPr>
        <w:spacing w:after="0" w:line="240" w:lineRule="auto"/>
        <w:ind w:left="709"/>
        <w:jc w:val="both"/>
        <w:rPr>
          <w:rFonts w:ascii="Arial" w:hAnsi="Arial" w:cs="Arial"/>
          <w:b/>
          <w:sz w:val="24"/>
          <w:szCs w:val="24"/>
        </w:rPr>
      </w:pPr>
      <w:r w:rsidRPr="005B23F7">
        <w:rPr>
          <w:rFonts w:ascii="Arial" w:hAnsi="Arial" w:cs="Arial"/>
          <w:b/>
          <w:sz w:val="24"/>
          <w:szCs w:val="24"/>
        </w:rPr>
        <w:t xml:space="preserve">Πρακτικές δέσμευσης και </w:t>
      </w:r>
      <w:proofErr w:type="spellStart"/>
      <w:r w:rsidRPr="005B23F7">
        <w:rPr>
          <w:rFonts w:ascii="Arial" w:hAnsi="Arial" w:cs="Arial"/>
          <w:b/>
          <w:sz w:val="24"/>
          <w:szCs w:val="24"/>
        </w:rPr>
        <w:t>δεσμοποίησης</w:t>
      </w:r>
      <w:proofErr w:type="spellEnd"/>
    </w:p>
    <w:p w:rsidR="00DC4653" w:rsidRPr="005B23F7" w:rsidRDefault="00DC4653" w:rsidP="0055297E">
      <w:pPr>
        <w:pStyle w:val="a3"/>
        <w:numPr>
          <w:ilvl w:val="1"/>
          <w:numId w:val="9"/>
        </w:numPr>
        <w:spacing w:after="0" w:line="240" w:lineRule="auto"/>
        <w:ind w:left="1418"/>
        <w:jc w:val="both"/>
        <w:rPr>
          <w:rFonts w:ascii="Arial" w:hAnsi="Arial" w:cs="Arial"/>
          <w:sz w:val="24"/>
          <w:szCs w:val="24"/>
        </w:rPr>
      </w:pPr>
      <w:proofErr w:type="spellStart"/>
      <w:r w:rsidRPr="005B23F7">
        <w:rPr>
          <w:rFonts w:ascii="Arial" w:hAnsi="Arial" w:cs="Arial"/>
          <w:sz w:val="24"/>
          <w:szCs w:val="24"/>
        </w:rPr>
        <w:t>Δεσμοποίηση</w:t>
      </w:r>
      <w:proofErr w:type="spellEnd"/>
      <w:r w:rsidRPr="005B23F7">
        <w:rPr>
          <w:rFonts w:ascii="Arial" w:hAnsi="Arial" w:cs="Arial"/>
          <w:sz w:val="24"/>
          <w:szCs w:val="24"/>
        </w:rPr>
        <w:t xml:space="preserve"> (αλληλένδετες </w:t>
      </w:r>
      <w:r w:rsidR="00AE7A16" w:rsidRPr="005B23F7">
        <w:rPr>
          <w:rFonts w:ascii="Arial" w:hAnsi="Arial" w:cs="Arial"/>
          <w:sz w:val="24"/>
          <w:szCs w:val="24"/>
        </w:rPr>
        <w:t xml:space="preserve">ή συνδυασμένες </w:t>
      </w:r>
      <w:r w:rsidRPr="005B23F7">
        <w:rPr>
          <w:rFonts w:ascii="Arial" w:hAnsi="Arial" w:cs="Arial"/>
          <w:sz w:val="24"/>
          <w:szCs w:val="24"/>
        </w:rPr>
        <w:t xml:space="preserve">πωλήσεις): Δύο ή περισσότερα προϊόντα προσφέρονται προς πώληση υποχρεωτικά μαζί, χωρίς να υπάρχει η δυνατότητα να πωληθεί </w:t>
      </w:r>
      <w:r w:rsidRPr="005B23F7">
        <w:rPr>
          <w:rFonts w:ascii="Arial" w:hAnsi="Arial" w:cs="Arial"/>
          <w:sz w:val="24"/>
          <w:szCs w:val="24"/>
        </w:rPr>
        <w:lastRenderedPageBreak/>
        <w:t>το καθένα ξεχωριστά. Επίσης, είναι ενδεχόμενο τα προϊόντα να μπορούν να πωληθούν ξεχωριστά, αλλά για την αγορά τους ως συνόλου να προσφέρεται κάποια έκπτωση.</w:t>
      </w:r>
    </w:p>
    <w:p w:rsidR="00DC4653" w:rsidRPr="005B23F7" w:rsidRDefault="00DC4653"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Δέσμευση: Η αγορά ενός προϊόντος εξαρτάται από την αγορά ενός άλλου προϊόντος.</w:t>
      </w:r>
    </w:p>
    <w:p w:rsidR="00DC4653" w:rsidRPr="005B23F7" w:rsidRDefault="00AE7A16"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Α</w:t>
      </w:r>
      <w:r w:rsidR="00DC4653" w:rsidRPr="005B23F7">
        <w:rPr>
          <w:rFonts w:ascii="Arial" w:hAnsi="Arial" w:cs="Arial"/>
          <w:sz w:val="24"/>
          <w:szCs w:val="24"/>
        </w:rPr>
        <w:t xml:space="preserve">ποφάσεις </w:t>
      </w:r>
      <w:proofErr w:type="spellStart"/>
      <w:r w:rsidR="00DC4653" w:rsidRPr="005B23F7">
        <w:rPr>
          <w:rFonts w:ascii="Arial" w:hAnsi="Arial" w:cs="Arial"/>
          <w:i/>
          <w:sz w:val="24"/>
          <w:szCs w:val="24"/>
          <w:lang w:val="en-US"/>
        </w:rPr>
        <w:t>Hilti</w:t>
      </w:r>
      <w:proofErr w:type="spellEnd"/>
      <w:r w:rsidR="00DC4653" w:rsidRPr="005B23F7">
        <w:rPr>
          <w:rFonts w:ascii="Arial" w:hAnsi="Arial" w:cs="Arial"/>
          <w:sz w:val="24"/>
          <w:szCs w:val="24"/>
        </w:rPr>
        <w:t xml:space="preserve"> και </w:t>
      </w:r>
      <w:r w:rsidR="00DC4653" w:rsidRPr="005B23F7">
        <w:rPr>
          <w:rFonts w:ascii="Arial" w:hAnsi="Arial" w:cs="Arial"/>
          <w:i/>
          <w:sz w:val="24"/>
          <w:szCs w:val="24"/>
          <w:lang w:val="en-US"/>
        </w:rPr>
        <w:t>Tetra</w:t>
      </w:r>
      <w:r w:rsidR="00DC4653" w:rsidRPr="005B23F7">
        <w:rPr>
          <w:rFonts w:ascii="Arial" w:hAnsi="Arial" w:cs="Arial"/>
          <w:i/>
          <w:sz w:val="24"/>
          <w:szCs w:val="24"/>
        </w:rPr>
        <w:t xml:space="preserve"> </w:t>
      </w:r>
      <w:r w:rsidR="00DC4653" w:rsidRPr="005B23F7">
        <w:rPr>
          <w:rFonts w:ascii="Arial" w:hAnsi="Arial" w:cs="Arial"/>
          <w:i/>
          <w:sz w:val="24"/>
          <w:szCs w:val="24"/>
          <w:lang w:val="en-US"/>
        </w:rPr>
        <w:t>Pak</w:t>
      </w:r>
      <w:r w:rsidR="00DC4653" w:rsidRPr="005B23F7">
        <w:rPr>
          <w:rFonts w:ascii="Arial" w:hAnsi="Arial" w:cs="Arial"/>
          <w:i/>
          <w:sz w:val="24"/>
          <w:szCs w:val="24"/>
        </w:rPr>
        <w:t xml:space="preserve"> </w:t>
      </w:r>
      <w:r w:rsidR="00DC4653" w:rsidRPr="005B23F7">
        <w:rPr>
          <w:rFonts w:ascii="Arial" w:hAnsi="Arial" w:cs="Arial"/>
          <w:i/>
          <w:sz w:val="24"/>
          <w:szCs w:val="24"/>
          <w:lang w:val="en-US"/>
        </w:rPr>
        <w:t>II</w:t>
      </w:r>
      <w:r w:rsidR="00341800" w:rsidRPr="005B23F7">
        <w:rPr>
          <w:rFonts w:ascii="Arial" w:hAnsi="Arial" w:cs="Arial"/>
          <w:sz w:val="24"/>
          <w:szCs w:val="24"/>
        </w:rPr>
        <w:t xml:space="preserve"> </w:t>
      </w:r>
      <w:r w:rsidR="00341800" w:rsidRPr="005B23F7">
        <w:rPr>
          <w:rFonts w:ascii="Arial" w:hAnsi="Arial" w:cs="Arial"/>
          <w:i/>
          <w:sz w:val="24"/>
          <w:szCs w:val="24"/>
        </w:rPr>
        <w:t>(</w:t>
      </w:r>
      <w:proofErr w:type="spellStart"/>
      <w:r w:rsidR="00341800" w:rsidRPr="005B23F7">
        <w:rPr>
          <w:rFonts w:ascii="Arial" w:hAnsi="Arial" w:cs="Arial"/>
          <w:i/>
          <w:sz w:val="24"/>
          <w:szCs w:val="24"/>
        </w:rPr>
        <w:t>ΓενΔικ</w:t>
      </w:r>
      <w:proofErr w:type="spellEnd"/>
      <w:r w:rsidR="00341800" w:rsidRPr="005B23F7">
        <w:rPr>
          <w:rFonts w:ascii="Arial" w:hAnsi="Arial" w:cs="Arial"/>
          <w:i/>
          <w:sz w:val="24"/>
          <w:szCs w:val="24"/>
        </w:rPr>
        <w:t>.)</w:t>
      </w:r>
      <w:r w:rsidR="00341800" w:rsidRPr="005B23F7">
        <w:rPr>
          <w:rFonts w:ascii="Arial" w:hAnsi="Arial" w:cs="Arial"/>
          <w:sz w:val="24"/>
          <w:szCs w:val="24"/>
        </w:rPr>
        <w:t>:</w:t>
      </w:r>
      <w:r w:rsidR="00DC4653" w:rsidRPr="005B23F7">
        <w:rPr>
          <w:rFonts w:ascii="Arial" w:hAnsi="Arial" w:cs="Arial"/>
          <w:sz w:val="24"/>
          <w:szCs w:val="24"/>
        </w:rPr>
        <w:t xml:space="preserve"> τα στοιχεία που καθιστούν την πρακτική των αλληλένδετων πωλήσεων καταχρηστική υπό το πρίσμα του άρθρου 102 ΣΛΕΕ, από οικονομική άποψη, είναι, πρώτον, η δημιουργία εμποδίων στην είσοδο ανταγωνιστών που προσφέρουν ξεχωριστά τα προϊόντα τους, δεύτερον, ο περιορισμός της ελευθερίας επιλογής του καταναλωτή και, τρίτον, η διαπίστωση ότι η πρακτική των αλληλένδετων πωλήσεων συνεπάγεται περιορισμό του ανταγωνισμού σε επόμενο επίπεδο αγοράς.</w:t>
      </w:r>
    </w:p>
    <w:p w:rsidR="00AE7A16" w:rsidRPr="005B23F7" w:rsidRDefault="00341800"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Microsoft</w:t>
      </w:r>
      <w:r w:rsidRPr="005B23F7">
        <w:rPr>
          <w:rFonts w:ascii="Arial" w:hAnsi="Arial" w:cs="Arial"/>
          <w:i/>
          <w:sz w:val="24"/>
          <w:szCs w:val="24"/>
        </w:rPr>
        <w:t xml:space="preserve"> Ι (</w:t>
      </w:r>
      <w:proofErr w:type="spellStart"/>
      <w:r w:rsidRPr="005B23F7">
        <w:rPr>
          <w:rFonts w:ascii="Arial" w:hAnsi="Arial" w:cs="Arial"/>
          <w:i/>
          <w:sz w:val="24"/>
          <w:szCs w:val="24"/>
        </w:rPr>
        <w:t>ΓενΔικ</w:t>
      </w:r>
      <w:proofErr w:type="spellEnd"/>
      <w:r w:rsidRPr="005B23F7">
        <w:rPr>
          <w:rFonts w:ascii="Arial" w:hAnsi="Arial" w:cs="Arial"/>
          <w:i/>
          <w:sz w:val="24"/>
          <w:szCs w:val="24"/>
        </w:rPr>
        <w:t>.)</w:t>
      </w:r>
      <w:r w:rsidRPr="005B23F7">
        <w:rPr>
          <w:rFonts w:ascii="Arial" w:hAnsi="Arial" w:cs="Arial"/>
          <w:sz w:val="24"/>
          <w:szCs w:val="24"/>
        </w:rPr>
        <w:t xml:space="preserve">: Η ύπαρξη καταχρηστικής συνδυασμένης πώλησης προϋποθέτει τη συνδρομή τεσσάρων προϋποθέσεων: </w:t>
      </w:r>
      <w:r w:rsidRPr="005B23F7">
        <w:rPr>
          <w:rFonts w:ascii="Arial" w:hAnsi="Arial" w:cs="Arial"/>
          <w:i/>
          <w:sz w:val="24"/>
          <w:szCs w:val="24"/>
        </w:rPr>
        <w:t>πρώτον</w:t>
      </w:r>
      <w:r w:rsidRPr="005B23F7">
        <w:rPr>
          <w:rFonts w:ascii="Arial" w:hAnsi="Arial" w:cs="Arial"/>
          <w:sz w:val="24"/>
          <w:szCs w:val="24"/>
        </w:rPr>
        <w:t xml:space="preserve">, το συνδέον και το συνδεόμενο προϊόν πρέπει να είναι δύο χωριστά προϊόντα· </w:t>
      </w:r>
      <w:r w:rsidRPr="005B23F7">
        <w:rPr>
          <w:rFonts w:ascii="Arial" w:hAnsi="Arial" w:cs="Arial"/>
          <w:i/>
          <w:sz w:val="24"/>
          <w:szCs w:val="24"/>
        </w:rPr>
        <w:t>δεύτερον</w:t>
      </w:r>
      <w:r w:rsidRPr="005B23F7">
        <w:rPr>
          <w:rFonts w:ascii="Arial" w:hAnsi="Arial" w:cs="Arial"/>
          <w:sz w:val="24"/>
          <w:szCs w:val="24"/>
        </w:rPr>
        <w:t xml:space="preserve">, η οικεία επιχείρηση πρέπει να κατέχει δεσπόζουσα θέση στην αγορά του συνδέοντος προϊόντος· </w:t>
      </w:r>
      <w:r w:rsidRPr="005B23F7">
        <w:rPr>
          <w:rFonts w:ascii="Arial" w:hAnsi="Arial" w:cs="Arial"/>
          <w:i/>
          <w:sz w:val="24"/>
          <w:szCs w:val="24"/>
        </w:rPr>
        <w:t>τρίτον</w:t>
      </w:r>
      <w:r w:rsidRPr="005B23F7">
        <w:rPr>
          <w:rFonts w:ascii="Arial" w:hAnsi="Arial" w:cs="Arial"/>
          <w:sz w:val="24"/>
          <w:szCs w:val="24"/>
        </w:rPr>
        <w:t xml:space="preserve">, η εν λόγω επιχείρηση δεν πρέπει να παρέχει στους καταναλωτές τη δυνατότητα να επιλέξουν το συνδέον προϊόν χωρίς το συνδεόμενο και, </w:t>
      </w:r>
      <w:r w:rsidRPr="005B23F7">
        <w:rPr>
          <w:rFonts w:ascii="Arial" w:hAnsi="Arial" w:cs="Arial"/>
          <w:i/>
          <w:sz w:val="24"/>
          <w:szCs w:val="24"/>
        </w:rPr>
        <w:t>τέταρτον</w:t>
      </w:r>
      <w:r w:rsidRPr="005B23F7">
        <w:rPr>
          <w:rFonts w:ascii="Arial" w:hAnsi="Arial" w:cs="Arial"/>
          <w:sz w:val="24"/>
          <w:szCs w:val="24"/>
        </w:rPr>
        <w:t>, η επίμαχη πρακτική πρέπει να περιορίζει τον ανταγωνισμό.</w:t>
      </w:r>
    </w:p>
    <w:p w:rsidR="00341800" w:rsidRPr="005B23F7" w:rsidRDefault="00341800"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Microsoft</w:t>
      </w:r>
      <w:r w:rsidRPr="005B23F7">
        <w:rPr>
          <w:rFonts w:ascii="Arial" w:hAnsi="Arial" w:cs="Arial"/>
          <w:i/>
          <w:sz w:val="24"/>
          <w:szCs w:val="24"/>
        </w:rPr>
        <w:t xml:space="preserve"> </w:t>
      </w:r>
      <w:r w:rsidRPr="005B23F7">
        <w:rPr>
          <w:rFonts w:ascii="Arial" w:hAnsi="Arial" w:cs="Arial"/>
          <w:i/>
          <w:sz w:val="24"/>
          <w:szCs w:val="24"/>
          <w:lang w:val="en-US"/>
        </w:rPr>
        <w:t>I</w:t>
      </w:r>
      <w:r w:rsidRPr="005B23F7">
        <w:rPr>
          <w:rFonts w:ascii="Arial" w:hAnsi="Arial" w:cs="Arial"/>
          <w:i/>
          <w:sz w:val="24"/>
          <w:szCs w:val="24"/>
        </w:rPr>
        <w:t xml:space="preserve"> (</w:t>
      </w:r>
      <w:proofErr w:type="spellStart"/>
      <w:r w:rsidRPr="005B23F7">
        <w:rPr>
          <w:rFonts w:ascii="Arial" w:hAnsi="Arial" w:cs="Arial"/>
          <w:i/>
          <w:sz w:val="24"/>
          <w:szCs w:val="24"/>
        </w:rPr>
        <w:t>ΓενΔικ</w:t>
      </w:r>
      <w:proofErr w:type="spellEnd"/>
      <w:r w:rsidRPr="005B23F7">
        <w:rPr>
          <w:rFonts w:ascii="Arial" w:hAnsi="Arial" w:cs="Arial"/>
          <w:i/>
          <w:sz w:val="24"/>
          <w:szCs w:val="24"/>
        </w:rPr>
        <w:t>.)</w:t>
      </w:r>
      <w:r w:rsidRPr="005B23F7">
        <w:rPr>
          <w:rFonts w:ascii="Arial" w:hAnsi="Arial" w:cs="Arial"/>
          <w:sz w:val="24"/>
          <w:szCs w:val="24"/>
        </w:rPr>
        <w:t xml:space="preserve">: Η πρακτική των αλληλένδετων πωλήσεων ενδέχεται να συνεπάγεται </w:t>
      </w:r>
      <w:proofErr w:type="spellStart"/>
      <w:r w:rsidRPr="005B23F7">
        <w:rPr>
          <w:rFonts w:ascii="Arial" w:hAnsi="Arial" w:cs="Arial"/>
          <w:sz w:val="24"/>
          <w:szCs w:val="24"/>
        </w:rPr>
        <w:t>αποτελεσματικότητες</w:t>
      </w:r>
      <w:proofErr w:type="spellEnd"/>
      <w:r w:rsidRPr="005B23F7">
        <w:rPr>
          <w:rFonts w:ascii="Arial" w:hAnsi="Arial" w:cs="Arial"/>
          <w:sz w:val="24"/>
          <w:szCs w:val="24"/>
        </w:rPr>
        <w:t xml:space="preserve"> που αντισταθμίζουν τα </w:t>
      </w:r>
      <w:proofErr w:type="spellStart"/>
      <w:r w:rsidRPr="005B23F7">
        <w:rPr>
          <w:rFonts w:ascii="Arial" w:hAnsi="Arial" w:cs="Arial"/>
          <w:sz w:val="24"/>
          <w:szCs w:val="24"/>
        </w:rPr>
        <w:t>αντιανταγωνιστικά</w:t>
      </w:r>
      <w:proofErr w:type="spellEnd"/>
      <w:r w:rsidRPr="005B23F7">
        <w:rPr>
          <w:rFonts w:ascii="Arial" w:hAnsi="Arial" w:cs="Arial"/>
          <w:sz w:val="24"/>
          <w:szCs w:val="24"/>
        </w:rPr>
        <w:t xml:space="preserve"> αποτελέσματα της εν λόγω πρακτικής.</w:t>
      </w:r>
    </w:p>
    <w:p w:rsidR="00DC4653" w:rsidRPr="005B23F7" w:rsidRDefault="00DC4653" w:rsidP="0055297E">
      <w:pPr>
        <w:pStyle w:val="a3"/>
        <w:spacing w:after="0" w:line="240" w:lineRule="auto"/>
        <w:ind w:left="3578"/>
        <w:jc w:val="both"/>
        <w:rPr>
          <w:rFonts w:ascii="Arial" w:hAnsi="Arial" w:cs="Arial"/>
          <w:b/>
          <w:sz w:val="24"/>
          <w:szCs w:val="24"/>
        </w:rPr>
      </w:pPr>
    </w:p>
    <w:p w:rsidR="00341800" w:rsidRPr="005B23F7" w:rsidRDefault="00341800" w:rsidP="0055297E">
      <w:pPr>
        <w:pStyle w:val="a3"/>
        <w:numPr>
          <w:ilvl w:val="0"/>
          <w:numId w:val="9"/>
        </w:numPr>
        <w:spacing w:after="0" w:line="240" w:lineRule="auto"/>
        <w:ind w:left="709"/>
        <w:jc w:val="both"/>
        <w:rPr>
          <w:rFonts w:ascii="Arial" w:hAnsi="Arial" w:cs="Arial"/>
          <w:b/>
          <w:sz w:val="24"/>
          <w:szCs w:val="24"/>
        </w:rPr>
      </w:pPr>
      <w:r w:rsidRPr="005B23F7">
        <w:rPr>
          <w:rFonts w:ascii="Arial" w:hAnsi="Arial" w:cs="Arial"/>
          <w:b/>
          <w:sz w:val="24"/>
          <w:szCs w:val="24"/>
        </w:rPr>
        <w:t>Πρακτικές εκπτώσεων υπέρ πιστών πελατών</w:t>
      </w:r>
    </w:p>
    <w:p w:rsidR="00341800" w:rsidRPr="005B23F7" w:rsidRDefault="00B61BFF" w:rsidP="0055297E">
      <w:pPr>
        <w:pStyle w:val="a3"/>
        <w:numPr>
          <w:ilvl w:val="1"/>
          <w:numId w:val="9"/>
        </w:numPr>
        <w:spacing w:after="0" w:line="240" w:lineRule="auto"/>
        <w:ind w:left="1418"/>
        <w:jc w:val="both"/>
        <w:rPr>
          <w:rFonts w:ascii="Arial" w:hAnsi="Arial" w:cs="Arial"/>
          <w:b/>
          <w:sz w:val="24"/>
          <w:szCs w:val="24"/>
        </w:rPr>
      </w:pPr>
      <w:r w:rsidRPr="005B23F7">
        <w:rPr>
          <w:rFonts w:ascii="Arial" w:hAnsi="Arial" w:cs="Arial"/>
          <w:sz w:val="24"/>
          <w:szCs w:val="24"/>
        </w:rPr>
        <w:t>Πρόκειται για εκπτώσεις που εξαρτώνται από τον όρο ότι ο πελάτης προμηθεύεται το σύνολο ή σημαντικό μέρος των αναγκών του αποκλειστικά από την επιχείρηση που κατέχει δεσπόζουσα θέση. Οι εκπτώσεις αυτές μπορούν να εμφανιστούν με διάφορες μορφές, π.χ. ως σύστημα ανταμοιβής επιδόσεων, ως σύστημα πριμοδοτήσεων ή ως σύστημα εκπτώσεων στόχου.</w:t>
      </w:r>
    </w:p>
    <w:p w:rsidR="00B61BFF" w:rsidRPr="005B23F7" w:rsidRDefault="00B61BFF"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 xml:space="preserve">Αποφάσεις </w:t>
      </w:r>
      <w:r w:rsidRPr="005B23F7">
        <w:rPr>
          <w:rFonts w:ascii="Arial" w:hAnsi="Arial" w:cs="Arial"/>
          <w:i/>
          <w:sz w:val="24"/>
          <w:szCs w:val="24"/>
          <w:lang w:val="en-US"/>
        </w:rPr>
        <w:t>Hoffmann</w:t>
      </w:r>
      <w:r w:rsidRPr="005B23F7">
        <w:rPr>
          <w:rFonts w:ascii="Arial" w:hAnsi="Arial" w:cs="Arial"/>
          <w:i/>
          <w:sz w:val="24"/>
          <w:szCs w:val="24"/>
        </w:rPr>
        <w:t>-</w:t>
      </w:r>
      <w:r w:rsidRPr="005B23F7">
        <w:rPr>
          <w:rFonts w:ascii="Arial" w:hAnsi="Arial" w:cs="Arial"/>
          <w:i/>
          <w:sz w:val="24"/>
          <w:szCs w:val="24"/>
          <w:lang w:val="en-US"/>
        </w:rPr>
        <w:t>La</w:t>
      </w:r>
      <w:r w:rsidRPr="005B23F7">
        <w:rPr>
          <w:rFonts w:ascii="Arial" w:hAnsi="Arial" w:cs="Arial"/>
          <w:i/>
          <w:sz w:val="24"/>
          <w:szCs w:val="24"/>
        </w:rPr>
        <w:t xml:space="preserve"> </w:t>
      </w:r>
      <w:r w:rsidRPr="005B23F7">
        <w:rPr>
          <w:rFonts w:ascii="Arial" w:hAnsi="Arial" w:cs="Arial"/>
          <w:i/>
          <w:sz w:val="24"/>
          <w:szCs w:val="24"/>
          <w:lang w:val="en-US"/>
        </w:rPr>
        <w:t>Roche</w:t>
      </w:r>
      <w:r w:rsidRPr="005B23F7">
        <w:rPr>
          <w:rFonts w:ascii="Arial" w:hAnsi="Arial" w:cs="Arial"/>
          <w:sz w:val="24"/>
          <w:szCs w:val="24"/>
        </w:rPr>
        <w:t xml:space="preserve"> και </w:t>
      </w:r>
      <w:r w:rsidRPr="005B23F7">
        <w:rPr>
          <w:rFonts w:ascii="Arial" w:hAnsi="Arial" w:cs="Arial"/>
          <w:i/>
          <w:sz w:val="24"/>
          <w:szCs w:val="24"/>
          <w:lang w:val="en-US"/>
        </w:rPr>
        <w:t>Michelin</w:t>
      </w:r>
      <w:r w:rsidRPr="005B23F7">
        <w:rPr>
          <w:rFonts w:ascii="Arial" w:hAnsi="Arial" w:cs="Arial"/>
          <w:i/>
          <w:sz w:val="24"/>
          <w:szCs w:val="24"/>
        </w:rPr>
        <w:t xml:space="preserve"> </w:t>
      </w:r>
      <w:r w:rsidRPr="005B23F7">
        <w:rPr>
          <w:rFonts w:ascii="Arial" w:hAnsi="Arial" w:cs="Arial"/>
          <w:i/>
          <w:sz w:val="24"/>
          <w:szCs w:val="24"/>
          <w:lang w:val="en-US"/>
        </w:rPr>
        <w:t>I</w:t>
      </w:r>
      <w:r w:rsidRPr="005B23F7">
        <w:rPr>
          <w:rFonts w:ascii="Arial" w:hAnsi="Arial" w:cs="Arial"/>
          <w:i/>
          <w:sz w:val="24"/>
          <w:szCs w:val="24"/>
        </w:rPr>
        <w:t xml:space="preserve"> (</w:t>
      </w:r>
      <w:proofErr w:type="spellStart"/>
      <w:r w:rsidRPr="005B23F7">
        <w:rPr>
          <w:rFonts w:ascii="Arial" w:hAnsi="Arial" w:cs="Arial"/>
          <w:i/>
          <w:sz w:val="24"/>
          <w:szCs w:val="24"/>
        </w:rPr>
        <w:t>Δικ</w:t>
      </w:r>
      <w:proofErr w:type="spellEnd"/>
      <w:r w:rsidRPr="005B23F7">
        <w:rPr>
          <w:rFonts w:ascii="Arial" w:hAnsi="Arial" w:cs="Arial"/>
          <w:i/>
          <w:sz w:val="24"/>
          <w:szCs w:val="24"/>
        </w:rPr>
        <w:t>.)</w:t>
      </w:r>
      <w:r w:rsidRPr="005B23F7">
        <w:rPr>
          <w:rFonts w:ascii="Arial" w:hAnsi="Arial" w:cs="Arial"/>
          <w:sz w:val="24"/>
          <w:szCs w:val="24"/>
        </w:rPr>
        <w:t xml:space="preserve">: οι εκπτώσεις υπέρ πιστών πελατών και οι εκπτώσεις που συνεπάγονται τη δημιουργία κύκλου πιστών πελατών είναι </w:t>
      </w:r>
      <w:r w:rsidRPr="005B23F7">
        <w:rPr>
          <w:rFonts w:ascii="Arial" w:hAnsi="Arial" w:cs="Arial"/>
          <w:sz w:val="24"/>
          <w:szCs w:val="24"/>
          <w:lang w:val="en-US"/>
        </w:rPr>
        <w:t>per</w:t>
      </w:r>
      <w:r w:rsidRPr="005B23F7">
        <w:rPr>
          <w:rFonts w:ascii="Arial" w:hAnsi="Arial" w:cs="Arial"/>
          <w:sz w:val="24"/>
          <w:szCs w:val="24"/>
        </w:rPr>
        <w:t xml:space="preserve"> </w:t>
      </w:r>
      <w:r w:rsidRPr="005B23F7">
        <w:rPr>
          <w:rFonts w:ascii="Arial" w:hAnsi="Arial" w:cs="Arial"/>
          <w:sz w:val="24"/>
          <w:szCs w:val="24"/>
          <w:lang w:val="en-US"/>
        </w:rPr>
        <w:t>se</w:t>
      </w:r>
      <w:r w:rsidRPr="005B23F7">
        <w:rPr>
          <w:rFonts w:ascii="Arial" w:hAnsi="Arial" w:cs="Arial"/>
          <w:sz w:val="24"/>
          <w:szCs w:val="24"/>
        </w:rPr>
        <w:t xml:space="preserve"> </w:t>
      </w:r>
      <w:proofErr w:type="spellStart"/>
      <w:r w:rsidRPr="005B23F7">
        <w:rPr>
          <w:rFonts w:ascii="Arial" w:hAnsi="Arial" w:cs="Arial"/>
          <w:sz w:val="24"/>
          <w:szCs w:val="24"/>
        </w:rPr>
        <w:t>αντι</w:t>
      </w:r>
      <w:proofErr w:type="spellEnd"/>
      <w:r w:rsidRPr="005B23F7">
        <w:rPr>
          <w:rFonts w:ascii="Arial" w:hAnsi="Arial" w:cs="Arial"/>
          <w:sz w:val="24"/>
          <w:szCs w:val="24"/>
        </w:rPr>
        <w:t>-αγωνιστικές, χωρίς να χρειάζεται οικονομική αξιολόγηση του αντίκτυπού τους στον ανταγωνισμό και στην ευημερία του καταναλωτή σε κάθε συγκεκριμένη υπόθεση.</w:t>
      </w:r>
    </w:p>
    <w:p w:rsidR="00B61BFF" w:rsidRPr="005B23F7" w:rsidRDefault="00B61BFF"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British</w:t>
      </w:r>
      <w:r w:rsidRPr="005B23F7">
        <w:rPr>
          <w:rFonts w:ascii="Arial" w:hAnsi="Arial" w:cs="Arial"/>
          <w:i/>
          <w:sz w:val="24"/>
          <w:szCs w:val="24"/>
        </w:rPr>
        <w:t xml:space="preserve"> </w:t>
      </w:r>
      <w:r w:rsidRPr="005B23F7">
        <w:rPr>
          <w:rFonts w:ascii="Arial" w:hAnsi="Arial" w:cs="Arial"/>
          <w:i/>
          <w:sz w:val="24"/>
          <w:szCs w:val="24"/>
          <w:lang w:val="en-US"/>
        </w:rPr>
        <w:t>Gypsum</w:t>
      </w:r>
      <w:r w:rsidRPr="005B23F7">
        <w:rPr>
          <w:rFonts w:ascii="Arial" w:hAnsi="Arial" w:cs="Arial"/>
          <w:i/>
          <w:sz w:val="24"/>
          <w:szCs w:val="24"/>
        </w:rPr>
        <w:t xml:space="preserve"> (</w:t>
      </w:r>
      <w:proofErr w:type="spellStart"/>
      <w:r w:rsidRPr="005B23F7">
        <w:rPr>
          <w:rFonts w:ascii="Arial" w:hAnsi="Arial" w:cs="Arial"/>
          <w:i/>
          <w:sz w:val="24"/>
          <w:szCs w:val="24"/>
        </w:rPr>
        <w:t>ΓενΔικ</w:t>
      </w:r>
      <w:proofErr w:type="spellEnd"/>
      <w:r w:rsidRPr="005B23F7">
        <w:rPr>
          <w:rFonts w:ascii="Arial" w:hAnsi="Arial" w:cs="Arial"/>
          <w:i/>
          <w:sz w:val="24"/>
          <w:szCs w:val="24"/>
        </w:rPr>
        <w:t>.)</w:t>
      </w:r>
      <w:r w:rsidRPr="005B23F7">
        <w:rPr>
          <w:rFonts w:ascii="Arial" w:hAnsi="Arial" w:cs="Arial"/>
          <w:sz w:val="24"/>
          <w:szCs w:val="24"/>
        </w:rPr>
        <w:t>: Η δεσπόζουσα επιχείρηση καταχράται τη θέση της εφαρμόζοντας εκπτώσεις υπέρ πιστών πελατών, ανεξάρτητα από την οικονομική δύναμη των πελατών της.</w:t>
      </w:r>
    </w:p>
    <w:p w:rsidR="00B61BFF" w:rsidRPr="005B23F7" w:rsidRDefault="00B61BFF"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 xml:space="preserve">Απόφαση </w:t>
      </w:r>
      <w:r w:rsidRPr="005B23F7">
        <w:rPr>
          <w:rFonts w:ascii="Arial" w:hAnsi="Arial" w:cs="Arial"/>
          <w:i/>
          <w:sz w:val="24"/>
          <w:szCs w:val="24"/>
          <w:lang w:val="en-US"/>
        </w:rPr>
        <w:t>Irish</w:t>
      </w:r>
      <w:r w:rsidRPr="005B23F7">
        <w:rPr>
          <w:rFonts w:ascii="Arial" w:hAnsi="Arial" w:cs="Arial"/>
          <w:i/>
          <w:sz w:val="24"/>
          <w:szCs w:val="24"/>
        </w:rPr>
        <w:t xml:space="preserve"> </w:t>
      </w:r>
      <w:r w:rsidRPr="005B23F7">
        <w:rPr>
          <w:rFonts w:ascii="Arial" w:hAnsi="Arial" w:cs="Arial"/>
          <w:i/>
          <w:sz w:val="24"/>
          <w:szCs w:val="24"/>
          <w:lang w:val="en-US"/>
        </w:rPr>
        <w:t>Sugar</w:t>
      </w:r>
      <w:r w:rsidRPr="005B23F7">
        <w:rPr>
          <w:rFonts w:ascii="Arial" w:hAnsi="Arial" w:cs="Arial"/>
          <w:i/>
          <w:sz w:val="24"/>
          <w:szCs w:val="24"/>
        </w:rPr>
        <w:t xml:space="preserve"> (</w:t>
      </w:r>
      <w:proofErr w:type="spellStart"/>
      <w:r w:rsidRPr="005B23F7">
        <w:rPr>
          <w:rFonts w:ascii="Arial" w:hAnsi="Arial" w:cs="Arial"/>
          <w:i/>
          <w:sz w:val="24"/>
          <w:szCs w:val="24"/>
        </w:rPr>
        <w:t>ΓενΔικ</w:t>
      </w:r>
      <w:proofErr w:type="spellEnd"/>
      <w:r w:rsidRPr="005B23F7">
        <w:rPr>
          <w:rFonts w:ascii="Arial" w:hAnsi="Arial" w:cs="Arial"/>
          <w:i/>
          <w:sz w:val="24"/>
          <w:szCs w:val="24"/>
        </w:rPr>
        <w:t>.)</w:t>
      </w:r>
      <w:r w:rsidRPr="005B23F7">
        <w:rPr>
          <w:rFonts w:ascii="Arial" w:hAnsi="Arial" w:cs="Arial"/>
          <w:sz w:val="24"/>
          <w:szCs w:val="24"/>
        </w:rPr>
        <w:t xml:space="preserve">: ο καταχρηστικός χαρακτήρας των εκπτώσεων υπέρ πιστών πελατών προκύπτει από το γεγονός ότι οι εν λόγω εκπτώσεις συνεπάγονται την αφαίρεση ή τον περιορισμό της δυνατότητας επιλογής του αγοραστή όσον αφορά τις πηγές εφοδιασμού του, την παρεμπόδιση της εισόδου </w:t>
      </w:r>
      <w:r w:rsidRPr="005B23F7">
        <w:rPr>
          <w:rFonts w:ascii="Arial" w:hAnsi="Arial" w:cs="Arial"/>
          <w:sz w:val="24"/>
          <w:szCs w:val="24"/>
        </w:rPr>
        <w:lastRenderedPageBreak/>
        <w:t>των ανταγωνιστών στην αγορά και την ενίσχυση της θέσης της δεσπόζουσας επιχείρησης</w:t>
      </w:r>
      <w:r w:rsidR="00945B3E" w:rsidRPr="005B23F7">
        <w:rPr>
          <w:rFonts w:ascii="Arial" w:hAnsi="Arial" w:cs="Arial"/>
          <w:sz w:val="24"/>
          <w:szCs w:val="24"/>
        </w:rPr>
        <w:t>.</w:t>
      </w:r>
    </w:p>
    <w:p w:rsidR="00945B3E" w:rsidRDefault="00945B3E" w:rsidP="0055297E">
      <w:pPr>
        <w:pStyle w:val="a3"/>
        <w:numPr>
          <w:ilvl w:val="1"/>
          <w:numId w:val="9"/>
        </w:numPr>
        <w:spacing w:after="0" w:line="240" w:lineRule="auto"/>
        <w:ind w:left="1418"/>
        <w:jc w:val="both"/>
        <w:rPr>
          <w:rFonts w:ascii="Arial" w:hAnsi="Arial" w:cs="Arial"/>
          <w:sz w:val="24"/>
          <w:szCs w:val="24"/>
        </w:rPr>
      </w:pPr>
      <w:r w:rsidRPr="005B23F7">
        <w:rPr>
          <w:rFonts w:ascii="Arial" w:hAnsi="Arial" w:cs="Arial"/>
          <w:sz w:val="24"/>
          <w:szCs w:val="24"/>
        </w:rPr>
        <w:t xml:space="preserve">Αποφάσεις </w:t>
      </w:r>
      <w:r w:rsidRPr="005B23F7">
        <w:rPr>
          <w:rFonts w:ascii="Arial" w:hAnsi="Arial" w:cs="Arial"/>
          <w:i/>
          <w:sz w:val="24"/>
          <w:szCs w:val="24"/>
          <w:lang w:val="en-US"/>
        </w:rPr>
        <w:t>British</w:t>
      </w:r>
      <w:r w:rsidRPr="005B23F7">
        <w:rPr>
          <w:rFonts w:ascii="Arial" w:hAnsi="Arial" w:cs="Arial"/>
          <w:i/>
          <w:sz w:val="24"/>
          <w:szCs w:val="24"/>
        </w:rPr>
        <w:t xml:space="preserve"> </w:t>
      </w:r>
      <w:r w:rsidRPr="005B23F7">
        <w:rPr>
          <w:rFonts w:ascii="Arial" w:hAnsi="Arial" w:cs="Arial"/>
          <w:i/>
          <w:sz w:val="24"/>
          <w:szCs w:val="24"/>
          <w:lang w:val="en-US"/>
        </w:rPr>
        <w:t>Airways</w:t>
      </w:r>
      <w:r w:rsidRPr="005B23F7">
        <w:rPr>
          <w:rFonts w:ascii="Arial" w:hAnsi="Arial" w:cs="Arial"/>
          <w:sz w:val="24"/>
          <w:szCs w:val="24"/>
        </w:rPr>
        <w:t xml:space="preserve"> και </w:t>
      </w:r>
      <w:r w:rsidRPr="005B23F7">
        <w:rPr>
          <w:rFonts w:ascii="Arial" w:hAnsi="Arial" w:cs="Arial"/>
          <w:i/>
          <w:sz w:val="24"/>
          <w:szCs w:val="24"/>
          <w:lang w:val="en-US"/>
        </w:rPr>
        <w:t>Michelin</w:t>
      </w:r>
      <w:r w:rsidRPr="005B23F7">
        <w:rPr>
          <w:rFonts w:ascii="Arial" w:hAnsi="Arial" w:cs="Arial"/>
          <w:i/>
          <w:sz w:val="24"/>
          <w:szCs w:val="24"/>
        </w:rPr>
        <w:t xml:space="preserve"> </w:t>
      </w:r>
      <w:r w:rsidRPr="005B23F7">
        <w:rPr>
          <w:rFonts w:ascii="Arial" w:hAnsi="Arial" w:cs="Arial"/>
          <w:i/>
          <w:sz w:val="24"/>
          <w:szCs w:val="24"/>
          <w:lang w:val="en-US"/>
        </w:rPr>
        <w:t>II</w:t>
      </w:r>
      <w:r w:rsidRPr="005B23F7">
        <w:rPr>
          <w:rFonts w:ascii="Arial" w:hAnsi="Arial" w:cs="Arial"/>
          <w:sz w:val="24"/>
          <w:szCs w:val="24"/>
        </w:rPr>
        <w:t xml:space="preserve">: Ένα σύστημα εκπτώσεων υπέρ πιστών πελατών και ένα σύστημα εκπτώσεων στόχου που αποβλέπει στη δημιουργία ενός κύκλου πιστών πελατών μπορεί θεωρητικά να κριθεί νόμιμο υπό το πρίσμα του άρθρου 102 ΣΛΕΕ με το επιχείρημα ότι το εν λόγω σύστημα στηρίζεται σε οικονομικά δικαιολογημένη αντιπαροχή. Ωστόσο, η εξοικονόμηση δαπανών και οι οικονομίες κλίμακας που ενδέχεται να παράγονται από ένα τέτοιο σύστημα δεν έχουν μέχρι σήμερα γίνει αποδεκτές ως «αντιπαροχές» που δικαιολογούν από οικονομική άποψη τέτοια συστήματα εκπτώσεων. Δηλαδή, η εξοικονόμηση δαπανών και οι οικονομίες κλίμακας που ενδέχεται να παράγονται από ένα σύστημα εκπτώσεων υπέρ πιστών πελατών ή από ένα σύστημα εκπτώσεων στόχου δεν φαίνεται να μπορούν να αντισταθμίσουν το </w:t>
      </w:r>
      <w:proofErr w:type="spellStart"/>
      <w:r w:rsidRPr="005B23F7">
        <w:rPr>
          <w:rFonts w:ascii="Arial" w:hAnsi="Arial" w:cs="Arial"/>
          <w:sz w:val="24"/>
          <w:szCs w:val="24"/>
        </w:rPr>
        <w:t>αντιανταγωνιστικό</w:t>
      </w:r>
      <w:proofErr w:type="spellEnd"/>
      <w:r w:rsidRPr="005B23F7">
        <w:rPr>
          <w:rFonts w:ascii="Arial" w:hAnsi="Arial" w:cs="Arial"/>
          <w:sz w:val="24"/>
          <w:szCs w:val="24"/>
        </w:rPr>
        <w:t xml:space="preserve"> αποτέλεσμα που συνεπάγεται το εν λόγω σύστημα. Έτσι, τα εν λόγω συστήματα μπορούν να θεωρηθούν πρακτικά ως </w:t>
      </w:r>
      <w:r w:rsidRPr="005B23F7">
        <w:rPr>
          <w:rFonts w:ascii="Arial" w:hAnsi="Arial" w:cs="Arial"/>
          <w:sz w:val="24"/>
          <w:szCs w:val="24"/>
          <w:lang w:val="en-US"/>
        </w:rPr>
        <w:t>per</w:t>
      </w:r>
      <w:r w:rsidRPr="005B23F7">
        <w:rPr>
          <w:rFonts w:ascii="Arial" w:hAnsi="Arial" w:cs="Arial"/>
          <w:sz w:val="24"/>
          <w:szCs w:val="24"/>
        </w:rPr>
        <w:t xml:space="preserve"> </w:t>
      </w:r>
      <w:r w:rsidRPr="005B23F7">
        <w:rPr>
          <w:rFonts w:ascii="Arial" w:hAnsi="Arial" w:cs="Arial"/>
          <w:sz w:val="24"/>
          <w:szCs w:val="24"/>
          <w:lang w:val="en-US"/>
        </w:rPr>
        <w:t>se</w:t>
      </w:r>
      <w:r w:rsidRPr="005B23F7">
        <w:rPr>
          <w:rFonts w:ascii="Arial" w:hAnsi="Arial" w:cs="Arial"/>
          <w:sz w:val="24"/>
          <w:szCs w:val="24"/>
        </w:rPr>
        <w:t xml:space="preserve"> παραβάσεις του άρθρου 102 ΣΛΕΕ.</w:t>
      </w:r>
    </w:p>
    <w:p w:rsidR="00411DAA" w:rsidRPr="001020ED" w:rsidRDefault="00411DAA" w:rsidP="0055297E">
      <w:pPr>
        <w:pStyle w:val="a3"/>
        <w:numPr>
          <w:ilvl w:val="1"/>
          <w:numId w:val="9"/>
        </w:numPr>
        <w:spacing w:after="0" w:line="240" w:lineRule="auto"/>
        <w:ind w:left="1418"/>
        <w:jc w:val="both"/>
        <w:rPr>
          <w:rFonts w:ascii="Arial" w:hAnsi="Arial" w:cs="Arial"/>
          <w:sz w:val="24"/>
          <w:szCs w:val="24"/>
        </w:rPr>
      </w:pPr>
      <w:r w:rsidRPr="001020ED">
        <w:rPr>
          <w:rFonts w:ascii="Arial" w:hAnsi="Arial" w:cs="Arial"/>
          <w:sz w:val="24"/>
          <w:szCs w:val="24"/>
        </w:rPr>
        <w:t xml:space="preserve">Απόφαση </w:t>
      </w:r>
      <w:r w:rsidR="001020ED" w:rsidRPr="001020ED">
        <w:rPr>
          <w:rFonts w:ascii="Arial" w:hAnsi="Arial" w:cs="Arial"/>
          <w:i/>
          <w:sz w:val="24"/>
          <w:szCs w:val="24"/>
          <w:lang w:val="en-US"/>
        </w:rPr>
        <w:t>Post</w:t>
      </w:r>
      <w:r w:rsidR="001020ED" w:rsidRPr="001020ED">
        <w:rPr>
          <w:rFonts w:ascii="Arial" w:hAnsi="Arial" w:cs="Arial"/>
          <w:i/>
          <w:sz w:val="24"/>
          <w:szCs w:val="24"/>
        </w:rPr>
        <w:t xml:space="preserve"> </w:t>
      </w:r>
      <w:r w:rsidR="001020ED" w:rsidRPr="001020ED">
        <w:rPr>
          <w:rFonts w:ascii="Arial" w:hAnsi="Arial" w:cs="Arial"/>
          <w:i/>
          <w:sz w:val="24"/>
          <w:szCs w:val="24"/>
          <w:lang w:val="en-US"/>
        </w:rPr>
        <w:t>Denmark</w:t>
      </w:r>
      <w:r w:rsidR="001020ED" w:rsidRPr="001020ED">
        <w:rPr>
          <w:rFonts w:ascii="Arial" w:hAnsi="Arial" w:cs="Arial"/>
          <w:i/>
          <w:sz w:val="24"/>
          <w:szCs w:val="24"/>
        </w:rPr>
        <w:t xml:space="preserve"> </w:t>
      </w:r>
      <w:r w:rsidR="001020ED" w:rsidRPr="001020ED">
        <w:rPr>
          <w:rFonts w:ascii="Arial" w:hAnsi="Arial" w:cs="Arial"/>
          <w:i/>
          <w:sz w:val="24"/>
          <w:szCs w:val="24"/>
          <w:lang w:val="en-US"/>
        </w:rPr>
        <w:t>II</w:t>
      </w:r>
      <w:r w:rsidR="001020ED" w:rsidRPr="001020ED">
        <w:rPr>
          <w:rFonts w:ascii="Arial" w:hAnsi="Arial" w:cs="Arial"/>
          <w:i/>
          <w:sz w:val="24"/>
          <w:szCs w:val="24"/>
        </w:rPr>
        <w:t xml:space="preserve">: </w:t>
      </w:r>
      <w:r w:rsidR="001020ED" w:rsidRPr="001020ED">
        <w:rPr>
          <w:rFonts w:ascii="Arial" w:hAnsi="Arial" w:cs="Arial"/>
          <w:sz w:val="24"/>
          <w:szCs w:val="24"/>
        </w:rPr>
        <w:t xml:space="preserve">Για τη διαπίστωση ότι ένα σύστημα εκπτώσεων </w:t>
      </w:r>
      <w:r w:rsidR="001020ED" w:rsidRPr="001020ED">
        <w:rPr>
          <w:rFonts w:ascii="Arial" w:hAnsi="Arial" w:cs="Arial"/>
          <w:sz w:val="24"/>
          <w:szCs w:val="24"/>
        </w:rPr>
        <w:t>συνιστά καταχρηστική συμπεριφορά, απαιτείται να λαμβάνεται</w:t>
      </w:r>
      <w:r w:rsidR="00F56E78">
        <w:rPr>
          <w:rFonts w:ascii="Arial" w:hAnsi="Arial" w:cs="Arial"/>
          <w:sz w:val="24"/>
          <w:szCs w:val="24"/>
        </w:rPr>
        <w:t xml:space="preserve"> υπόψη</w:t>
      </w:r>
      <w:r w:rsidR="001020ED" w:rsidRPr="001020ED">
        <w:rPr>
          <w:rFonts w:ascii="Arial" w:hAnsi="Arial" w:cs="Arial"/>
          <w:sz w:val="24"/>
          <w:szCs w:val="24"/>
        </w:rPr>
        <w:t xml:space="preserve"> το σύνολο των περιστάσεων της κρινόμενης υπόθεσης</w:t>
      </w:r>
      <w:r w:rsidR="001020ED" w:rsidRPr="001020ED">
        <w:rPr>
          <w:rFonts w:ascii="Arial" w:hAnsi="Arial" w:cs="Arial"/>
          <w:sz w:val="24"/>
          <w:szCs w:val="24"/>
        </w:rPr>
        <w:t xml:space="preserve">. </w:t>
      </w:r>
      <w:r w:rsidR="00F56E78">
        <w:rPr>
          <w:rFonts w:ascii="Arial" w:hAnsi="Arial" w:cs="Arial"/>
          <w:sz w:val="24"/>
          <w:szCs w:val="24"/>
        </w:rPr>
        <w:t>Η</w:t>
      </w:r>
      <w:r w:rsidR="001020ED" w:rsidRPr="001020ED">
        <w:rPr>
          <w:rFonts w:ascii="Arial" w:hAnsi="Arial" w:cs="Arial"/>
          <w:sz w:val="24"/>
          <w:szCs w:val="24"/>
        </w:rPr>
        <w:t xml:space="preserve"> εφαρμογή του κριτηρίου του εξίσου αποτελεσματικού ανταγωνισμού δεν αποτελεί απαραίτητη προϋπόθεση για να διαπιστωθεί η </w:t>
      </w:r>
      <w:proofErr w:type="spellStart"/>
      <w:r w:rsidR="001020ED" w:rsidRPr="001020ED">
        <w:rPr>
          <w:rFonts w:ascii="Arial" w:hAnsi="Arial" w:cs="Arial"/>
          <w:sz w:val="24"/>
          <w:szCs w:val="24"/>
        </w:rPr>
        <w:t>καταχρηστικότητα</w:t>
      </w:r>
      <w:proofErr w:type="spellEnd"/>
      <w:r w:rsidR="001020ED" w:rsidRPr="001020ED">
        <w:rPr>
          <w:rFonts w:ascii="Arial" w:hAnsi="Arial" w:cs="Arial"/>
          <w:sz w:val="24"/>
          <w:szCs w:val="24"/>
        </w:rPr>
        <w:t xml:space="preserve"> ενός συστήματος εκπτώσεων</w:t>
      </w:r>
      <w:r w:rsidR="001020ED" w:rsidRPr="001020ED">
        <w:rPr>
          <w:rFonts w:ascii="Arial" w:hAnsi="Arial" w:cs="Arial"/>
          <w:sz w:val="24"/>
          <w:szCs w:val="24"/>
        </w:rPr>
        <w:t>.</w:t>
      </w:r>
    </w:p>
    <w:p w:rsidR="00945B3E" w:rsidRPr="00F56E78" w:rsidRDefault="00945B3E" w:rsidP="0055297E">
      <w:pPr>
        <w:pStyle w:val="a3"/>
        <w:numPr>
          <w:ilvl w:val="1"/>
          <w:numId w:val="9"/>
        </w:numPr>
        <w:spacing w:after="0" w:line="240" w:lineRule="auto"/>
        <w:ind w:left="1418"/>
        <w:jc w:val="both"/>
        <w:rPr>
          <w:rFonts w:ascii="Arial" w:hAnsi="Arial" w:cs="Arial"/>
          <w:sz w:val="24"/>
          <w:szCs w:val="24"/>
        </w:rPr>
      </w:pPr>
      <w:r w:rsidRPr="00F56E78">
        <w:rPr>
          <w:rFonts w:ascii="Arial" w:hAnsi="Arial" w:cs="Arial"/>
          <w:sz w:val="24"/>
          <w:szCs w:val="24"/>
        </w:rPr>
        <w:t xml:space="preserve">Αποφάσεις </w:t>
      </w:r>
      <w:proofErr w:type="spellStart"/>
      <w:r w:rsidRPr="00F56E78">
        <w:rPr>
          <w:rFonts w:ascii="Arial" w:hAnsi="Arial" w:cs="Arial"/>
          <w:i/>
          <w:sz w:val="24"/>
          <w:szCs w:val="24"/>
          <w:lang w:val="en-US"/>
        </w:rPr>
        <w:t>Tomra</w:t>
      </w:r>
      <w:proofErr w:type="spellEnd"/>
      <w:r w:rsidR="00F56E78" w:rsidRPr="00F56E78">
        <w:rPr>
          <w:rFonts w:ascii="Arial" w:hAnsi="Arial" w:cs="Arial"/>
          <w:sz w:val="24"/>
          <w:szCs w:val="24"/>
        </w:rPr>
        <w:t xml:space="preserve"> και </w:t>
      </w:r>
      <w:r w:rsidRPr="00F56E78">
        <w:rPr>
          <w:rFonts w:ascii="Arial" w:hAnsi="Arial" w:cs="Arial"/>
          <w:i/>
          <w:sz w:val="24"/>
          <w:szCs w:val="24"/>
          <w:lang w:val="en-US"/>
        </w:rPr>
        <w:t>Intel</w:t>
      </w:r>
      <w:r w:rsidR="00F56E78">
        <w:rPr>
          <w:rFonts w:ascii="Arial" w:hAnsi="Arial" w:cs="Arial"/>
          <w:i/>
          <w:sz w:val="24"/>
          <w:szCs w:val="24"/>
        </w:rPr>
        <w:t xml:space="preserve"> (</w:t>
      </w:r>
      <w:proofErr w:type="spellStart"/>
      <w:r w:rsidR="00F56E78">
        <w:rPr>
          <w:rFonts w:ascii="Arial" w:hAnsi="Arial" w:cs="Arial"/>
          <w:i/>
          <w:sz w:val="24"/>
          <w:szCs w:val="24"/>
        </w:rPr>
        <w:t>ΓενΔικ</w:t>
      </w:r>
      <w:proofErr w:type="spellEnd"/>
      <w:r w:rsidR="00F56E78">
        <w:rPr>
          <w:rFonts w:ascii="Arial" w:hAnsi="Arial" w:cs="Arial"/>
          <w:i/>
          <w:sz w:val="24"/>
          <w:szCs w:val="24"/>
        </w:rPr>
        <w:t>)</w:t>
      </w:r>
      <w:r w:rsidRPr="00F56E78">
        <w:rPr>
          <w:rFonts w:ascii="Arial" w:hAnsi="Arial" w:cs="Arial"/>
          <w:sz w:val="24"/>
          <w:szCs w:val="24"/>
        </w:rPr>
        <w:t xml:space="preserve">: Επιβεβαίωση των θέσεων που διατυπώθηκαν στις αποφάσεις </w:t>
      </w:r>
      <w:r w:rsidRPr="00F56E78">
        <w:rPr>
          <w:rFonts w:ascii="Arial" w:hAnsi="Arial" w:cs="Arial"/>
          <w:i/>
          <w:sz w:val="24"/>
          <w:szCs w:val="24"/>
          <w:lang w:val="en-US"/>
        </w:rPr>
        <w:t>British</w:t>
      </w:r>
      <w:r w:rsidRPr="00F56E78">
        <w:rPr>
          <w:rFonts w:ascii="Arial" w:hAnsi="Arial" w:cs="Arial"/>
          <w:i/>
          <w:sz w:val="24"/>
          <w:szCs w:val="24"/>
        </w:rPr>
        <w:t xml:space="preserve"> </w:t>
      </w:r>
      <w:r w:rsidRPr="00F56E78">
        <w:rPr>
          <w:rFonts w:ascii="Arial" w:hAnsi="Arial" w:cs="Arial"/>
          <w:i/>
          <w:sz w:val="24"/>
          <w:szCs w:val="24"/>
          <w:lang w:val="en-US"/>
        </w:rPr>
        <w:t>Airways</w:t>
      </w:r>
      <w:r w:rsidRPr="00F56E78">
        <w:rPr>
          <w:rFonts w:ascii="Arial" w:hAnsi="Arial" w:cs="Arial"/>
          <w:sz w:val="24"/>
          <w:szCs w:val="24"/>
        </w:rPr>
        <w:t xml:space="preserve"> και </w:t>
      </w:r>
      <w:r w:rsidRPr="00F56E78">
        <w:rPr>
          <w:rFonts w:ascii="Arial" w:hAnsi="Arial" w:cs="Arial"/>
          <w:i/>
          <w:sz w:val="24"/>
          <w:szCs w:val="24"/>
          <w:lang w:val="en-US"/>
        </w:rPr>
        <w:t>Michelin</w:t>
      </w:r>
      <w:r w:rsidRPr="00F56E78">
        <w:rPr>
          <w:rFonts w:ascii="Arial" w:hAnsi="Arial" w:cs="Arial"/>
          <w:i/>
          <w:sz w:val="24"/>
          <w:szCs w:val="24"/>
        </w:rPr>
        <w:t xml:space="preserve"> </w:t>
      </w:r>
      <w:r w:rsidRPr="00F56E78">
        <w:rPr>
          <w:rFonts w:ascii="Arial" w:hAnsi="Arial" w:cs="Arial"/>
          <w:i/>
          <w:sz w:val="24"/>
          <w:szCs w:val="24"/>
          <w:lang w:val="en-US"/>
        </w:rPr>
        <w:t>II</w:t>
      </w:r>
      <w:r w:rsidRPr="00F56E78">
        <w:rPr>
          <w:rFonts w:ascii="Arial" w:hAnsi="Arial" w:cs="Arial"/>
          <w:i/>
          <w:sz w:val="24"/>
          <w:szCs w:val="24"/>
        </w:rPr>
        <w:t>.</w:t>
      </w:r>
    </w:p>
    <w:p w:rsidR="00F56E78" w:rsidRPr="00F56E78" w:rsidRDefault="00F56E78" w:rsidP="0055297E">
      <w:pPr>
        <w:pStyle w:val="a3"/>
        <w:numPr>
          <w:ilvl w:val="1"/>
          <w:numId w:val="9"/>
        </w:numPr>
        <w:spacing w:after="0" w:line="240" w:lineRule="auto"/>
        <w:ind w:left="1418"/>
        <w:jc w:val="both"/>
        <w:rPr>
          <w:rFonts w:ascii="Arial" w:hAnsi="Arial" w:cs="Arial"/>
          <w:sz w:val="24"/>
          <w:szCs w:val="24"/>
        </w:rPr>
      </w:pPr>
      <w:r w:rsidRPr="00F56E78">
        <w:rPr>
          <w:rFonts w:ascii="Arial" w:hAnsi="Arial" w:cs="Arial"/>
          <w:sz w:val="24"/>
          <w:szCs w:val="24"/>
        </w:rPr>
        <w:t xml:space="preserve">Απόφαση </w:t>
      </w:r>
      <w:r w:rsidRPr="00F56E78">
        <w:rPr>
          <w:rFonts w:ascii="Arial" w:hAnsi="Arial" w:cs="Arial"/>
          <w:i/>
          <w:sz w:val="24"/>
          <w:szCs w:val="24"/>
          <w:lang w:val="en-US"/>
        </w:rPr>
        <w:t>Intel</w:t>
      </w:r>
      <w:r w:rsidRPr="00F56E78">
        <w:rPr>
          <w:rFonts w:ascii="Arial" w:hAnsi="Arial" w:cs="Arial"/>
          <w:sz w:val="24"/>
          <w:szCs w:val="24"/>
        </w:rPr>
        <w:t xml:space="preserve"> (</w:t>
      </w:r>
      <w:proofErr w:type="spellStart"/>
      <w:r w:rsidRPr="00F56E78">
        <w:rPr>
          <w:rFonts w:ascii="Arial" w:hAnsi="Arial" w:cs="Arial"/>
          <w:sz w:val="24"/>
          <w:szCs w:val="24"/>
        </w:rPr>
        <w:t>Δικ</w:t>
      </w:r>
      <w:proofErr w:type="spellEnd"/>
      <w:r w:rsidRPr="00F56E78">
        <w:rPr>
          <w:rFonts w:ascii="Arial" w:hAnsi="Arial" w:cs="Arial"/>
          <w:sz w:val="24"/>
          <w:szCs w:val="24"/>
        </w:rPr>
        <w:t xml:space="preserve">): </w:t>
      </w:r>
      <w:r>
        <w:rPr>
          <w:rFonts w:ascii="Arial" w:hAnsi="Arial" w:cs="Arial"/>
          <w:sz w:val="24"/>
          <w:szCs w:val="24"/>
        </w:rPr>
        <w:t>Τ</w:t>
      </w:r>
      <w:r w:rsidRPr="00F56E78">
        <w:rPr>
          <w:rFonts w:ascii="Arial" w:hAnsi="Arial" w:cs="Arial"/>
          <w:sz w:val="24"/>
          <w:szCs w:val="24"/>
        </w:rPr>
        <w:t>ο κριτήριο του εξίσου αποτελεσματικού ανταγωνιστή μπορεί να εφαρμοστεί και σε υποθέσεις εκπτώσεων υπέρ πιστών πελατών</w:t>
      </w:r>
      <w:r>
        <w:rPr>
          <w:rFonts w:ascii="Arial" w:hAnsi="Arial" w:cs="Arial"/>
          <w:sz w:val="24"/>
          <w:szCs w:val="24"/>
        </w:rPr>
        <w:t>.</w:t>
      </w:r>
      <w:r w:rsidRPr="00F56E78">
        <w:rPr>
          <w:rFonts w:ascii="Arial" w:hAnsi="Arial" w:cs="Arial"/>
          <w:sz w:val="24"/>
          <w:szCs w:val="24"/>
        </w:rPr>
        <w:t xml:space="preserve"> </w:t>
      </w:r>
      <w:r>
        <w:rPr>
          <w:rFonts w:ascii="Arial" w:hAnsi="Arial" w:cs="Arial"/>
          <w:sz w:val="24"/>
          <w:szCs w:val="24"/>
        </w:rPr>
        <w:t>Ο</w:t>
      </w:r>
      <w:r w:rsidRPr="00F56E78">
        <w:rPr>
          <w:rFonts w:ascii="Arial" w:hAnsi="Arial" w:cs="Arial"/>
          <w:sz w:val="24"/>
          <w:szCs w:val="24"/>
        </w:rPr>
        <w:t xml:space="preserve">ι εκπτώσεις υπέρ πιστών πελατών δεν είναι οπωσδήποτε (κατ’ αμάχητο τεκμήριο) απαγορευμένες κατ’ άρθρο 102 ΣΛΕΕ, αλλά η (τελική) νομιμότητα της εν λόγω πρακτικής μπορεί να βασιστεί σε στοιχεία που θα προσκομιστούν από τη δεσπόζουσα επιχείρηση και θα τη δικαιολογούν αντικειμενικά. </w:t>
      </w:r>
      <w:r w:rsidRPr="00F56E78">
        <w:rPr>
          <w:rFonts w:ascii="Arial" w:hAnsi="Arial" w:cs="Arial"/>
          <w:sz w:val="24"/>
          <w:szCs w:val="24"/>
        </w:rPr>
        <w:t xml:space="preserve">   </w:t>
      </w:r>
    </w:p>
    <w:p w:rsidR="00484EB7" w:rsidRPr="005B23F7" w:rsidRDefault="00484EB7" w:rsidP="0055297E">
      <w:pPr>
        <w:spacing w:line="240" w:lineRule="auto"/>
        <w:rPr>
          <w:rFonts w:ascii="Arial" w:hAnsi="Arial" w:cs="Arial"/>
          <w:sz w:val="24"/>
          <w:szCs w:val="24"/>
        </w:rPr>
      </w:pPr>
      <w:r w:rsidRPr="005B23F7">
        <w:rPr>
          <w:rFonts w:ascii="Arial" w:hAnsi="Arial" w:cs="Arial"/>
          <w:sz w:val="24"/>
          <w:szCs w:val="24"/>
        </w:rPr>
        <w:br w:type="page"/>
      </w:r>
    </w:p>
    <w:p w:rsidR="00484EB7" w:rsidRPr="005B23F7" w:rsidRDefault="00484EB7" w:rsidP="0055297E">
      <w:pPr>
        <w:spacing w:after="0" w:line="240" w:lineRule="auto"/>
        <w:jc w:val="both"/>
        <w:rPr>
          <w:rFonts w:ascii="Arial" w:hAnsi="Arial" w:cs="Arial"/>
          <w:b/>
          <w:sz w:val="24"/>
          <w:szCs w:val="24"/>
        </w:rPr>
      </w:pPr>
      <w:r w:rsidRPr="005B23F7">
        <w:rPr>
          <w:rFonts w:ascii="Arial" w:hAnsi="Arial" w:cs="Arial"/>
          <w:b/>
          <w:sz w:val="24"/>
          <w:szCs w:val="24"/>
          <w:lang w:val="en-US"/>
        </w:rPr>
        <w:lastRenderedPageBreak/>
        <w:t>III</w:t>
      </w:r>
      <w:r w:rsidRPr="005B23F7">
        <w:rPr>
          <w:rFonts w:ascii="Arial" w:hAnsi="Arial" w:cs="Arial"/>
          <w:b/>
          <w:sz w:val="24"/>
          <w:szCs w:val="24"/>
        </w:rPr>
        <w:t>. Εφαρμογή των αρχών της οικονομικής ανάλυσης κατά την εφαρμογή του Κανονισμού 139/2004</w:t>
      </w:r>
    </w:p>
    <w:p w:rsidR="00484EB7" w:rsidRPr="005B23F7" w:rsidRDefault="00484EB7" w:rsidP="0055297E">
      <w:pPr>
        <w:spacing w:after="0" w:line="240" w:lineRule="auto"/>
        <w:jc w:val="both"/>
        <w:rPr>
          <w:rFonts w:ascii="Arial" w:hAnsi="Arial" w:cs="Arial"/>
          <w:b/>
          <w:sz w:val="24"/>
          <w:szCs w:val="24"/>
        </w:rPr>
      </w:pPr>
    </w:p>
    <w:p w:rsidR="00D1030D" w:rsidRPr="005B23F7" w:rsidRDefault="00D1030D" w:rsidP="0055297E">
      <w:pPr>
        <w:pStyle w:val="a3"/>
        <w:numPr>
          <w:ilvl w:val="0"/>
          <w:numId w:val="10"/>
        </w:numPr>
        <w:spacing w:after="0" w:line="240" w:lineRule="auto"/>
        <w:jc w:val="both"/>
        <w:rPr>
          <w:rFonts w:ascii="Arial" w:hAnsi="Arial" w:cs="Arial"/>
          <w:b/>
          <w:sz w:val="24"/>
          <w:szCs w:val="24"/>
        </w:rPr>
      </w:pPr>
      <w:r w:rsidRPr="005B23F7">
        <w:rPr>
          <w:rFonts w:ascii="Arial" w:hAnsi="Arial" w:cs="Arial"/>
          <w:b/>
          <w:sz w:val="24"/>
          <w:szCs w:val="24"/>
        </w:rPr>
        <w:t>Άρθρο 2 παρ. 3 του Κανονισμού (ΕΚ) 139/2004:</w:t>
      </w:r>
      <w:r w:rsidRPr="005B23F7">
        <w:rPr>
          <w:rFonts w:ascii="Arial" w:hAnsi="Arial" w:cs="Arial"/>
          <w:sz w:val="24"/>
          <w:szCs w:val="24"/>
        </w:rPr>
        <w:t xml:space="preserve"> Οι συγκεντρώσεις που ενδέχεται να παρακωλύουν σημαντικά τον αποτελεσματικό ανταγωνισμό στην κοινή αγορά ή σε σημαντικό τμήμα της, ιδίως ως αποτέλεσμα της δημιουργίας ή της ενίσχυσης μιας δεσπόζουσας θέσης, κηρύσσονται ασυμβίβαστες με την κοινή αγορά.</w:t>
      </w:r>
    </w:p>
    <w:p w:rsidR="001F5C13" w:rsidRPr="005B23F7" w:rsidRDefault="001F5C13" w:rsidP="0055297E">
      <w:pPr>
        <w:pStyle w:val="a3"/>
        <w:spacing w:after="0" w:line="240" w:lineRule="auto"/>
        <w:ind w:left="1440"/>
        <w:jc w:val="both"/>
        <w:rPr>
          <w:rFonts w:ascii="Arial" w:hAnsi="Arial" w:cs="Arial"/>
          <w:b/>
          <w:sz w:val="24"/>
          <w:szCs w:val="24"/>
        </w:rPr>
      </w:pPr>
    </w:p>
    <w:p w:rsidR="001F5C13" w:rsidRPr="005B23F7" w:rsidRDefault="001F5C13" w:rsidP="0055297E">
      <w:pPr>
        <w:pStyle w:val="a3"/>
        <w:numPr>
          <w:ilvl w:val="0"/>
          <w:numId w:val="10"/>
        </w:numPr>
        <w:spacing w:after="0" w:line="240" w:lineRule="auto"/>
        <w:jc w:val="both"/>
        <w:rPr>
          <w:rFonts w:ascii="Arial" w:hAnsi="Arial" w:cs="Arial"/>
          <w:b/>
          <w:sz w:val="24"/>
          <w:szCs w:val="24"/>
        </w:rPr>
      </w:pPr>
      <w:r w:rsidRPr="005B23F7">
        <w:rPr>
          <w:rFonts w:ascii="Arial" w:hAnsi="Arial" w:cs="Arial"/>
          <w:b/>
          <w:sz w:val="24"/>
          <w:szCs w:val="24"/>
        </w:rPr>
        <w:t xml:space="preserve">Τι είναι η συγκέντρωση επιχειρήσεων; </w:t>
      </w:r>
      <w:r w:rsidRPr="005B23F7">
        <w:rPr>
          <w:rFonts w:ascii="Arial" w:hAnsi="Arial" w:cs="Arial"/>
          <w:sz w:val="24"/>
          <w:szCs w:val="24"/>
        </w:rPr>
        <w:t>Συγκέντρωση επιχειρήσεων πραγματοποιείται όταν ένα ή περισσότερα πρόσωπα που ελέγχουν ήδη τουλάχιστον μια ή περισσότερες επιχειρήσεις αποκτούν άμεσα ή έμμεσα τον έλεγχο του συνόλου ή τμημάτων μιας ή περισσοτέρων άλλων επιχειρήσεων.</w:t>
      </w:r>
    </w:p>
    <w:p w:rsidR="001F5C13" w:rsidRPr="005B23F7" w:rsidRDefault="001F5C13" w:rsidP="0055297E">
      <w:pPr>
        <w:pStyle w:val="a3"/>
        <w:spacing w:after="0" w:line="240" w:lineRule="auto"/>
        <w:ind w:left="1440"/>
        <w:jc w:val="both"/>
        <w:rPr>
          <w:rFonts w:ascii="Arial" w:hAnsi="Arial" w:cs="Arial"/>
          <w:b/>
          <w:sz w:val="24"/>
          <w:szCs w:val="24"/>
        </w:rPr>
      </w:pPr>
    </w:p>
    <w:p w:rsidR="001F5C13" w:rsidRPr="005B23F7" w:rsidRDefault="001F5C13" w:rsidP="0055297E">
      <w:pPr>
        <w:pStyle w:val="a3"/>
        <w:numPr>
          <w:ilvl w:val="0"/>
          <w:numId w:val="10"/>
        </w:numPr>
        <w:spacing w:after="0" w:line="240" w:lineRule="auto"/>
        <w:jc w:val="both"/>
        <w:rPr>
          <w:rFonts w:ascii="Arial" w:hAnsi="Arial" w:cs="Arial"/>
          <w:b/>
          <w:sz w:val="24"/>
          <w:szCs w:val="24"/>
        </w:rPr>
      </w:pPr>
      <w:r w:rsidRPr="005B23F7">
        <w:rPr>
          <w:rFonts w:ascii="Arial" w:hAnsi="Arial" w:cs="Arial"/>
          <w:b/>
          <w:sz w:val="24"/>
          <w:szCs w:val="24"/>
        </w:rPr>
        <w:t>Μορφές συγκεντρώσεων:</w:t>
      </w:r>
    </w:p>
    <w:p w:rsidR="001F5C13" w:rsidRPr="005B23F7" w:rsidRDefault="001F5C13" w:rsidP="0055297E">
      <w:pPr>
        <w:pStyle w:val="a3"/>
        <w:numPr>
          <w:ilvl w:val="0"/>
          <w:numId w:val="11"/>
        </w:numPr>
        <w:spacing w:after="0" w:line="240" w:lineRule="auto"/>
        <w:jc w:val="both"/>
        <w:rPr>
          <w:rFonts w:ascii="Arial" w:hAnsi="Arial" w:cs="Arial"/>
          <w:sz w:val="24"/>
          <w:szCs w:val="24"/>
        </w:rPr>
      </w:pPr>
      <w:r w:rsidRPr="005B23F7">
        <w:rPr>
          <w:rFonts w:ascii="Arial" w:hAnsi="Arial" w:cs="Arial"/>
          <w:sz w:val="24"/>
          <w:szCs w:val="24"/>
        </w:rPr>
        <w:t>Συγχωνεύσεις</w:t>
      </w:r>
    </w:p>
    <w:p w:rsidR="003D7F4E" w:rsidRPr="005B23F7" w:rsidRDefault="003D7F4E" w:rsidP="0055297E">
      <w:pPr>
        <w:pStyle w:val="a3"/>
        <w:numPr>
          <w:ilvl w:val="0"/>
          <w:numId w:val="11"/>
        </w:numPr>
        <w:spacing w:after="0" w:line="240" w:lineRule="auto"/>
        <w:jc w:val="both"/>
        <w:rPr>
          <w:rFonts w:ascii="Arial" w:hAnsi="Arial" w:cs="Arial"/>
          <w:sz w:val="24"/>
          <w:szCs w:val="24"/>
        </w:rPr>
      </w:pPr>
      <w:r w:rsidRPr="005B23F7">
        <w:rPr>
          <w:rFonts w:ascii="Arial" w:hAnsi="Arial" w:cs="Arial"/>
          <w:sz w:val="24"/>
          <w:szCs w:val="24"/>
        </w:rPr>
        <w:t>Εξαγορές</w:t>
      </w:r>
    </w:p>
    <w:p w:rsidR="003D7F4E" w:rsidRPr="005B23F7" w:rsidRDefault="003D7F4E" w:rsidP="0055297E">
      <w:pPr>
        <w:pStyle w:val="a3"/>
        <w:numPr>
          <w:ilvl w:val="0"/>
          <w:numId w:val="11"/>
        </w:numPr>
        <w:spacing w:after="0" w:line="240" w:lineRule="auto"/>
        <w:jc w:val="both"/>
        <w:rPr>
          <w:rFonts w:ascii="Arial" w:hAnsi="Arial" w:cs="Arial"/>
          <w:sz w:val="24"/>
          <w:szCs w:val="24"/>
        </w:rPr>
      </w:pPr>
      <w:r w:rsidRPr="005B23F7">
        <w:rPr>
          <w:rFonts w:ascii="Arial" w:hAnsi="Arial" w:cs="Arial"/>
          <w:sz w:val="24"/>
          <w:szCs w:val="24"/>
        </w:rPr>
        <w:t>Κοινές επιχειρήσεις</w:t>
      </w:r>
    </w:p>
    <w:p w:rsidR="003D7F4E" w:rsidRPr="005B23F7" w:rsidRDefault="003D7F4E" w:rsidP="0055297E">
      <w:pPr>
        <w:pStyle w:val="a3"/>
        <w:spacing w:after="0" w:line="240" w:lineRule="auto"/>
        <w:ind w:left="1440"/>
        <w:jc w:val="both"/>
        <w:rPr>
          <w:rFonts w:ascii="Arial" w:hAnsi="Arial" w:cs="Arial"/>
          <w:b/>
          <w:sz w:val="24"/>
          <w:szCs w:val="24"/>
        </w:rPr>
      </w:pPr>
    </w:p>
    <w:p w:rsidR="003D7F4E" w:rsidRPr="005B23F7" w:rsidRDefault="003D7F4E" w:rsidP="0055297E">
      <w:pPr>
        <w:pStyle w:val="a3"/>
        <w:numPr>
          <w:ilvl w:val="0"/>
          <w:numId w:val="10"/>
        </w:numPr>
        <w:spacing w:after="0" w:line="240" w:lineRule="auto"/>
        <w:jc w:val="both"/>
        <w:rPr>
          <w:rFonts w:ascii="Arial" w:hAnsi="Arial" w:cs="Arial"/>
          <w:b/>
          <w:sz w:val="24"/>
          <w:szCs w:val="24"/>
        </w:rPr>
      </w:pPr>
      <w:r w:rsidRPr="005B23F7">
        <w:rPr>
          <w:rFonts w:ascii="Arial" w:hAnsi="Arial" w:cs="Arial"/>
          <w:b/>
          <w:sz w:val="24"/>
          <w:szCs w:val="24"/>
        </w:rPr>
        <w:t xml:space="preserve">Διάκριση των συγκεντρώσεων: </w:t>
      </w:r>
    </w:p>
    <w:p w:rsidR="003D7F4E" w:rsidRPr="005B23F7" w:rsidRDefault="003D7F4E" w:rsidP="0055297E">
      <w:pPr>
        <w:pStyle w:val="a3"/>
        <w:numPr>
          <w:ilvl w:val="1"/>
          <w:numId w:val="10"/>
        </w:numPr>
        <w:spacing w:after="0" w:line="240" w:lineRule="auto"/>
        <w:jc w:val="both"/>
        <w:rPr>
          <w:rFonts w:ascii="Arial" w:hAnsi="Arial" w:cs="Arial"/>
          <w:b/>
          <w:sz w:val="24"/>
          <w:szCs w:val="24"/>
        </w:rPr>
      </w:pPr>
      <w:r w:rsidRPr="005B23F7">
        <w:rPr>
          <w:rFonts w:ascii="Arial" w:hAnsi="Arial" w:cs="Arial"/>
          <w:sz w:val="24"/>
          <w:szCs w:val="24"/>
        </w:rPr>
        <w:t>Οριζόντιες συγκεντρώσεις: Συνάπτονται μεταξύ επιχειρήσεων που είναι πραγματικοί ή δυνητικοί ανταγωνιστές.</w:t>
      </w:r>
    </w:p>
    <w:p w:rsidR="003D7F4E" w:rsidRPr="005B23F7" w:rsidRDefault="003D7F4E" w:rsidP="0055297E">
      <w:pPr>
        <w:pStyle w:val="a3"/>
        <w:numPr>
          <w:ilvl w:val="1"/>
          <w:numId w:val="10"/>
        </w:numPr>
        <w:spacing w:after="0" w:line="240" w:lineRule="auto"/>
        <w:jc w:val="both"/>
        <w:rPr>
          <w:rFonts w:ascii="Arial" w:hAnsi="Arial" w:cs="Arial"/>
          <w:b/>
          <w:sz w:val="24"/>
          <w:szCs w:val="24"/>
        </w:rPr>
      </w:pPr>
      <w:r w:rsidRPr="005B23F7">
        <w:rPr>
          <w:rFonts w:ascii="Arial" w:hAnsi="Arial" w:cs="Arial"/>
          <w:sz w:val="24"/>
          <w:szCs w:val="24"/>
        </w:rPr>
        <w:t>Μη οριζόντιες συγκεντρώσεις: Συνάπτονται μεταξύ επιχειρήσεων που δραστηριοποιούνται σε διαφορετική βαθμίδα της αλυσίδας εφοδιασμού (κάθετες συγκεντρώσεις) ή μεταξύ επιχειρήσεων που δεν έχουν οριζόντια ή κάθετη σχέση αλλά ασκούν ετερογενείς και συγχρόνως συσχετιζόμενες δραστηριότητες.</w:t>
      </w:r>
    </w:p>
    <w:p w:rsidR="001F5C13" w:rsidRPr="005B23F7" w:rsidRDefault="001F5C13" w:rsidP="0055297E">
      <w:pPr>
        <w:pStyle w:val="a3"/>
        <w:spacing w:after="0" w:line="240" w:lineRule="auto"/>
        <w:ind w:left="1440"/>
        <w:jc w:val="both"/>
        <w:rPr>
          <w:rFonts w:ascii="Arial" w:hAnsi="Arial" w:cs="Arial"/>
          <w:b/>
          <w:sz w:val="24"/>
          <w:szCs w:val="24"/>
        </w:rPr>
      </w:pPr>
    </w:p>
    <w:p w:rsidR="00D1030D" w:rsidRPr="005B23F7" w:rsidRDefault="00D1030D" w:rsidP="0055297E">
      <w:pPr>
        <w:pStyle w:val="a3"/>
        <w:numPr>
          <w:ilvl w:val="0"/>
          <w:numId w:val="10"/>
        </w:numPr>
        <w:spacing w:after="0" w:line="240" w:lineRule="auto"/>
        <w:jc w:val="both"/>
        <w:rPr>
          <w:rFonts w:ascii="Arial" w:hAnsi="Arial" w:cs="Arial"/>
          <w:b/>
          <w:sz w:val="24"/>
          <w:szCs w:val="24"/>
        </w:rPr>
      </w:pPr>
      <w:r w:rsidRPr="005B23F7">
        <w:rPr>
          <w:rFonts w:ascii="Arial" w:hAnsi="Arial" w:cs="Arial"/>
          <w:b/>
          <w:sz w:val="24"/>
          <w:szCs w:val="24"/>
        </w:rPr>
        <w:t xml:space="preserve">Άρθρο 2 παρ. 1 του Κανονισμού (ΕΚ) 139/2004: </w:t>
      </w:r>
      <w:r w:rsidRPr="005B23F7">
        <w:rPr>
          <w:rFonts w:ascii="Arial" w:hAnsi="Arial" w:cs="Arial"/>
          <w:sz w:val="24"/>
          <w:szCs w:val="24"/>
        </w:rPr>
        <w:t>Για να διαπιστωθεί αν μια συγκέντρωση παρακωλύει σημαντικά τον αποτελεσματικό ανταγωνισμό, ιδίως με τη δημιουργία ή την ενίσχυση δεσπόζουσας θέσης, είναι απαραίτητο να λαμβάνονται υπόψη τα ακόλουθα στοιχεία:</w:t>
      </w:r>
    </w:p>
    <w:p w:rsidR="00D1030D" w:rsidRPr="005B23F7" w:rsidRDefault="00D1030D" w:rsidP="0055297E">
      <w:pPr>
        <w:pStyle w:val="a3"/>
        <w:spacing w:after="0" w:line="240" w:lineRule="auto"/>
        <w:ind w:left="2160"/>
        <w:jc w:val="both"/>
        <w:rPr>
          <w:rFonts w:ascii="Arial" w:hAnsi="Arial" w:cs="Arial"/>
          <w:sz w:val="24"/>
          <w:szCs w:val="24"/>
        </w:rPr>
      </w:pPr>
      <w:r w:rsidRPr="005B23F7">
        <w:rPr>
          <w:rFonts w:ascii="Arial" w:hAnsi="Arial" w:cs="Arial"/>
          <w:sz w:val="24"/>
          <w:szCs w:val="24"/>
          <w:lang w:val="en-US"/>
        </w:rPr>
        <w:t>i</w:t>
      </w:r>
      <w:r w:rsidRPr="005B23F7">
        <w:rPr>
          <w:rFonts w:ascii="Arial" w:hAnsi="Arial" w:cs="Arial"/>
          <w:sz w:val="24"/>
          <w:szCs w:val="24"/>
        </w:rPr>
        <w:t>) Η διάρθρωση όλων των σχετικών αγορών, καθώς και ο πραγματικός ή δυνητικός ανταγωνισμός που υφίσταται στις αγορές αυτές και ιδίως στην αγορά που αφορά η υπό εξέταση συγκέντρωση.</w:t>
      </w:r>
    </w:p>
    <w:p w:rsidR="00D1030D" w:rsidRPr="005B23F7" w:rsidRDefault="00D1030D" w:rsidP="0055297E">
      <w:pPr>
        <w:pStyle w:val="a3"/>
        <w:spacing w:after="0" w:line="240" w:lineRule="auto"/>
        <w:ind w:left="2160"/>
        <w:jc w:val="both"/>
        <w:rPr>
          <w:rFonts w:ascii="Arial" w:hAnsi="Arial" w:cs="Arial"/>
          <w:sz w:val="24"/>
          <w:szCs w:val="24"/>
        </w:rPr>
      </w:pPr>
      <w:r w:rsidRPr="005B23F7">
        <w:rPr>
          <w:rFonts w:ascii="Arial" w:hAnsi="Arial" w:cs="Arial"/>
          <w:sz w:val="24"/>
          <w:szCs w:val="24"/>
          <w:lang w:val="en-US"/>
        </w:rPr>
        <w:t>ii</w:t>
      </w:r>
      <w:r w:rsidRPr="005B23F7">
        <w:rPr>
          <w:rFonts w:ascii="Arial" w:hAnsi="Arial" w:cs="Arial"/>
          <w:sz w:val="24"/>
          <w:szCs w:val="24"/>
        </w:rPr>
        <w:t>) Η ύπαρξη τυχόν νομικών ή πραγματικών εμποδίων εισόδου στη σχετική αγορά.</w:t>
      </w:r>
    </w:p>
    <w:p w:rsidR="00D1030D" w:rsidRPr="005B23F7" w:rsidRDefault="00D1030D" w:rsidP="0055297E">
      <w:pPr>
        <w:spacing w:after="0" w:line="240" w:lineRule="auto"/>
        <w:ind w:left="2160"/>
        <w:jc w:val="both"/>
        <w:rPr>
          <w:rFonts w:ascii="Arial" w:hAnsi="Arial" w:cs="Arial"/>
          <w:sz w:val="24"/>
          <w:szCs w:val="24"/>
        </w:rPr>
      </w:pPr>
      <w:r w:rsidRPr="005B23F7">
        <w:rPr>
          <w:rFonts w:ascii="Arial" w:hAnsi="Arial" w:cs="Arial"/>
          <w:sz w:val="24"/>
          <w:szCs w:val="24"/>
          <w:lang w:val="en-US"/>
        </w:rPr>
        <w:t>iii</w:t>
      </w:r>
      <w:r w:rsidRPr="005B23F7">
        <w:rPr>
          <w:rFonts w:ascii="Arial" w:hAnsi="Arial" w:cs="Arial"/>
          <w:sz w:val="24"/>
          <w:szCs w:val="24"/>
        </w:rPr>
        <w:t>) Η θέση των συμμετεχουσών επιχειρήσεων στη σχετική αγορά καθώς και η χρηματοοικονομική ισχύς τους.</w:t>
      </w:r>
    </w:p>
    <w:p w:rsidR="00D1030D" w:rsidRPr="005B23F7" w:rsidRDefault="00D1030D" w:rsidP="0055297E">
      <w:pPr>
        <w:pStyle w:val="a3"/>
        <w:spacing w:after="0" w:line="240" w:lineRule="auto"/>
        <w:ind w:left="2160"/>
        <w:jc w:val="both"/>
        <w:rPr>
          <w:rFonts w:ascii="Arial" w:hAnsi="Arial" w:cs="Arial"/>
          <w:sz w:val="24"/>
          <w:szCs w:val="24"/>
        </w:rPr>
      </w:pPr>
      <w:proofErr w:type="gramStart"/>
      <w:r w:rsidRPr="005B23F7">
        <w:rPr>
          <w:rFonts w:ascii="Arial" w:hAnsi="Arial" w:cs="Arial"/>
          <w:sz w:val="24"/>
          <w:szCs w:val="24"/>
          <w:lang w:val="en-US"/>
        </w:rPr>
        <w:t>iv</w:t>
      </w:r>
      <w:r w:rsidRPr="005B23F7">
        <w:rPr>
          <w:rFonts w:ascii="Arial" w:hAnsi="Arial" w:cs="Arial"/>
          <w:sz w:val="24"/>
          <w:szCs w:val="24"/>
        </w:rPr>
        <w:t>) Οι</w:t>
      </w:r>
      <w:proofErr w:type="gramEnd"/>
      <w:r w:rsidRPr="005B23F7">
        <w:rPr>
          <w:rFonts w:ascii="Arial" w:hAnsi="Arial" w:cs="Arial"/>
          <w:sz w:val="24"/>
          <w:szCs w:val="24"/>
        </w:rPr>
        <w:t xml:space="preserve"> εναλλακτικές δυνατότητες επιλογής που έχουν οι προμηθευτές και οι αγοραστές των προϊόντων ή των υπηρεσιών που εντάσσονται στη σχετική αγορά.</w:t>
      </w:r>
    </w:p>
    <w:p w:rsidR="00D1030D" w:rsidRPr="005B23F7" w:rsidRDefault="00D1030D" w:rsidP="0055297E">
      <w:pPr>
        <w:pStyle w:val="a3"/>
        <w:spacing w:after="0" w:line="240" w:lineRule="auto"/>
        <w:ind w:left="2160"/>
        <w:jc w:val="both"/>
        <w:rPr>
          <w:rFonts w:ascii="Arial" w:hAnsi="Arial" w:cs="Arial"/>
          <w:sz w:val="24"/>
          <w:szCs w:val="24"/>
        </w:rPr>
      </w:pPr>
      <w:r w:rsidRPr="005B23F7">
        <w:rPr>
          <w:rFonts w:ascii="Arial" w:hAnsi="Arial" w:cs="Arial"/>
          <w:sz w:val="24"/>
          <w:szCs w:val="24"/>
          <w:lang w:val="en-US"/>
        </w:rPr>
        <w:lastRenderedPageBreak/>
        <w:t>v</w:t>
      </w:r>
      <w:r w:rsidRPr="005B23F7">
        <w:rPr>
          <w:rFonts w:ascii="Arial" w:hAnsi="Arial" w:cs="Arial"/>
          <w:sz w:val="24"/>
          <w:szCs w:val="24"/>
        </w:rPr>
        <w:t>) Η δυνατότητα πρόσβασης των προμηθευτών και των αγοραστών στις αγορές διάθεσης των προϊόντων ή/και υπηρεσιών και στις πηγές εφοδιασμού αντίστοιχα.</w:t>
      </w:r>
    </w:p>
    <w:p w:rsidR="00D1030D" w:rsidRPr="005B23F7" w:rsidRDefault="00D1030D" w:rsidP="0055297E">
      <w:pPr>
        <w:pStyle w:val="a3"/>
        <w:spacing w:after="0" w:line="240" w:lineRule="auto"/>
        <w:ind w:left="2160"/>
        <w:jc w:val="both"/>
        <w:rPr>
          <w:rFonts w:ascii="Arial" w:hAnsi="Arial" w:cs="Arial"/>
          <w:sz w:val="24"/>
          <w:szCs w:val="24"/>
        </w:rPr>
      </w:pPr>
      <w:r w:rsidRPr="005B23F7">
        <w:rPr>
          <w:rFonts w:ascii="Arial" w:hAnsi="Arial" w:cs="Arial"/>
          <w:sz w:val="24"/>
          <w:szCs w:val="24"/>
          <w:lang w:val="en-US"/>
        </w:rPr>
        <w:t>vi</w:t>
      </w:r>
      <w:r w:rsidRPr="005B23F7">
        <w:rPr>
          <w:rFonts w:ascii="Arial" w:hAnsi="Arial" w:cs="Arial"/>
          <w:sz w:val="24"/>
          <w:szCs w:val="24"/>
        </w:rPr>
        <w:t>) Η συμβολή της συγκέντρωσης στην εξέλιξη της τεχνικής και οικονομικής προόδου, εφόσον η εξέλιξη αυτή είναι προς το συμφέρον των καταναλωτών και δεν αποτελεί εμπόδιο για τον ανταγωνισμό.</w:t>
      </w:r>
    </w:p>
    <w:p w:rsidR="001F5C13" w:rsidRPr="005B23F7" w:rsidRDefault="001F5C13" w:rsidP="0055297E">
      <w:pPr>
        <w:pStyle w:val="a3"/>
        <w:spacing w:after="0" w:line="240" w:lineRule="auto"/>
        <w:ind w:left="2160"/>
        <w:jc w:val="both"/>
        <w:rPr>
          <w:rFonts w:ascii="Arial" w:hAnsi="Arial" w:cs="Arial"/>
          <w:sz w:val="24"/>
          <w:szCs w:val="24"/>
        </w:rPr>
      </w:pPr>
    </w:p>
    <w:p w:rsidR="001F5C13" w:rsidRPr="005B23F7" w:rsidRDefault="001F5C13" w:rsidP="0055297E">
      <w:pPr>
        <w:pStyle w:val="a3"/>
        <w:numPr>
          <w:ilvl w:val="0"/>
          <w:numId w:val="12"/>
        </w:numPr>
        <w:spacing w:after="0" w:line="240" w:lineRule="auto"/>
        <w:jc w:val="both"/>
        <w:rPr>
          <w:rFonts w:ascii="Arial" w:hAnsi="Arial" w:cs="Arial"/>
          <w:sz w:val="24"/>
          <w:szCs w:val="24"/>
        </w:rPr>
      </w:pPr>
      <w:r w:rsidRPr="005B23F7">
        <w:rPr>
          <w:rFonts w:ascii="Arial" w:hAnsi="Arial" w:cs="Arial"/>
          <w:b/>
          <w:sz w:val="24"/>
          <w:szCs w:val="24"/>
        </w:rPr>
        <w:t>Βασική αρχή για την αξιολόγηση των συνεπειών μιας συγκέντρωσης:</w:t>
      </w:r>
      <w:r w:rsidRPr="005B23F7">
        <w:rPr>
          <w:rFonts w:ascii="Arial" w:hAnsi="Arial" w:cs="Arial"/>
          <w:sz w:val="24"/>
          <w:szCs w:val="24"/>
        </w:rPr>
        <w:t xml:space="preserve"> Η Ευρωπαϊκή Επιτροπή συγκρίνει τις συνθήκες ανταγωνισμού που θα προκύψουν από την κοινοποιηθείσα συγκέντρωση με εκείνες που θα επικρατούσαν χωρίς αυτήν.</w:t>
      </w:r>
    </w:p>
    <w:p w:rsidR="00F17829" w:rsidRPr="005B23F7" w:rsidRDefault="00F17829" w:rsidP="0055297E">
      <w:pPr>
        <w:pStyle w:val="a3"/>
        <w:spacing w:after="0" w:line="240" w:lineRule="auto"/>
        <w:jc w:val="both"/>
        <w:rPr>
          <w:rFonts w:ascii="Arial" w:hAnsi="Arial" w:cs="Arial"/>
          <w:sz w:val="24"/>
          <w:szCs w:val="24"/>
        </w:rPr>
      </w:pPr>
    </w:p>
    <w:p w:rsidR="00F17829" w:rsidRPr="005B23F7" w:rsidRDefault="00F17829" w:rsidP="0055297E">
      <w:pPr>
        <w:pStyle w:val="a3"/>
        <w:numPr>
          <w:ilvl w:val="0"/>
          <w:numId w:val="12"/>
        </w:numPr>
        <w:spacing w:after="0" w:line="240" w:lineRule="auto"/>
        <w:jc w:val="both"/>
        <w:rPr>
          <w:rFonts w:ascii="Arial" w:hAnsi="Arial" w:cs="Arial"/>
          <w:b/>
          <w:sz w:val="24"/>
          <w:szCs w:val="24"/>
        </w:rPr>
      </w:pPr>
      <w:r w:rsidRPr="005B23F7">
        <w:rPr>
          <w:rFonts w:ascii="Arial" w:hAnsi="Arial" w:cs="Arial"/>
          <w:b/>
          <w:sz w:val="24"/>
          <w:szCs w:val="24"/>
        </w:rPr>
        <w:t>Ακολουθούμενα βήματα για την αξιολόγηση των συνεπειών των συγκεντρώσεων:</w:t>
      </w:r>
    </w:p>
    <w:p w:rsidR="00F17829" w:rsidRPr="005B23F7" w:rsidRDefault="003D7F4E" w:rsidP="0055297E">
      <w:pPr>
        <w:pStyle w:val="a3"/>
        <w:numPr>
          <w:ilvl w:val="0"/>
          <w:numId w:val="13"/>
        </w:numPr>
        <w:spacing w:after="0" w:line="240" w:lineRule="auto"/>
        <w:ind w:left="1843"/>
        <w:jc w:val="both"/>
        <w:rPr>
          <w:rFonts w:ascii="Arial" w:hAnsi="Arial" w:cs="Arial"/>
          <w:sz w:val="24"/>
          <w:szCs w:val="24"/>
        </w:rPr>
      </w:pPr>
      <w:r w:rsidRPr="005B23F7">
        <w:rPr>
          <w:rFonts w:ascii="Arial" w:hAnsi="Arial" w:cs="Arial"/>
          <w:sz w:val="24"/>
          <w:szCs w:val="24"/>
        </w:rPr>
        <w:t>Οριοθέτηση των σχετικών αγορών: Καταρχήν εφαρμογή των κανόνων που ισχύουν για την οριοθέτηση των σχετικών αγορών κατ’ εφαρμογή των άρθρων 101 και 102 ΣΛΕΕ.</w:t>
      </w:r>
      <w:r w:rsidR="00F17829" w:rsidRPr="005B23F7">
        <w:rPr>
          <w:rFonts w:ascii="Arial" w:hAnsi="Arial" w:cs="Arial"/>
          <w:sz w:val="24"/>
          <w:szCs w:val="24"/>
        </w:rPr>
        <w:t xml:space="preserve"> Επιπλέον, όμως, απαιτείται οριοθέτηση και των αγορών που επηρεάζονται από τη συγκέντρωση και των αγορών που είναι συγγενείς με τις αγορές που επηρεάζονται από τη συγκέντρωση.</w:t>
      </w:r>
    </w:p>
    <w:p w:rsidR="003D7F4E" w:rsidRPr="005B23F7" w:rsidRDefault="00F17829" w:rsidP="0055297E">
      <w:pPr>
        <w:pStyle w:val="a3"/>
        <w:numPr>
          <w:ilvl w:val="0"/>
          <w:numId w:val="13"/>
        </w:numPr>
        <w:spacing w:after="0" w:line="240" w:lineRule="auto"/>
        <w:ind w:left="1843"/>
        <w:jc w:val="both"/>
        <w:rPr>
          <w:rFonts w:ascii="Arial" w:hAnsi="Arial" w:cs="Arial"/>
          <w:sz w:val="24"/>
          <w:szCs w:val="24"/>
        </w:rPr>
      </w:pPr>
      <w:r w:rsidRPr="005B23F7">
        <w:rPr>
          <w:rFonts w:ascii="Arial" w:hAnsi="Arial" w:cs="Arial"/>
          <w:sz w:val="24"/>
          <w:szCs w:val="24"/>
        </w:rPr>
        <w:t>Μερίδια αγοράς: Τα μερίδια αγοράς και τα επίπεδα συγκέντρωσης αποτελούν τις πρώτες χρήσιμες ενδείξεις για τη διάρθρωση της αγοράς και τη σπουδαιότητα τόσο των συμμετεχουσών στη συγκέντρωση επιχειρήσεων όσο και των ανταγωνιστών τους. Πολύ μεγάλα μερίδια αγοράς (άνω του 50%) ενδέχεται από μόνα τους να στηρίζουν τη διαπίστωση ότι συγκέντρωση οδηγεί στη δημιουργία μιας δεσπόζουσας θέσης στη σχετική αγορά. Ωστόσο, ακόμα και αν τα μερίδια αγοράς είναι κάτω του 50%, η συγκέντρωση δεν αποκλείεται να έχει σημαντικές επιπτώσεις στον αποτελεσματικό ανταγωνισμό ενόψει άλλων παραγόντων, όπως είναι η ισχύς και ο αριθμός των ανταγωνιστών, η ύπαρξη περιορισμών παραγωγικής ικανότητας ή ο βαθμός στον οποίο τα προϊόντα των συμμετεχουσών επιχειρήσεων είναι στενά υποκατάστατα.</w:t>
      </w:r>
    </w:p>
    <w:p w:rsidR="00F17829" w:rsidRPr="005B23F7" w:rsidRDefault="008E516B" w:rsidP="0055297E">
      <w:pPr>
        <w:pStyle w:val="a3"/>
        <w:numPr>
          <w:ilvl w:val="0"/>
          <w:numId w:val="13"/>
        </w:numPr>
        <w:spacing w:after="0" w:line="240" w:lineRule="auto"/>
        <w:ind w:left="1843"/>
        <w:jc w:val="both"/>
        <w:rPr>
          <w:rFonts w:ascii="Arial" w:hAnsi="Arial" w:cs="Arial"/>
          <w:sz w:val="24"/>
          <w:szCs w:val="24"/>
        </w:rPr>
      </w:pPr>
      <w:r w:rsidRPr="005B23F7">
        <w:rPr>
          <w:rFonts w:ascii="Arial" w:hAnsi="Arial" w:cs="Arial"/>
          <w:sz w:val="24"/>
          <w:szCs w:val="24"/>
        </w:rPr>
        <w:t>Αντισταθμιστική ισχύς πελατών ή προμηθευτών: Ακόμα και επιχειρήσεις με μεγάλα μερίδια αγοράς ενδέχεται, μετά τη συγκέντρωση, να μην είναι σε θέση να περιορίσουν αισθητά τον ανταγωνισμό και να μην είναι σε θέση να ενεργούν σε σημαντικό βαθμό ανεξάρτητα από τους πελάτες ή τους προμηθευτές τους, αν αυτοί διαθέτουν σημαντική ισχύ στην αγορά.</w:t>
      </w:r>
    </w:p>
    <w:p w:rsidR="008E516B" w:rsidRPr="005B23F7" w:rsidRDefault="008E516B" w:rsidP="0055297E">
      <w:pPr>
        <w:pStyle w:val="a3"/>
        <w:numPr>
          <w:ilvl w:val="0"/>
          <w:numId w:val="13"/>
        </w:numPr>
        <w:spacing w:after="0" w:line="240" w:lineRule="auto"/>
        <w:ind w:left="1843"/>
        <w:jc w:val="both"/>
        <w:rPr>
          <w:rFonts w:ascii="Arial" w:hAnsi="Arial" w:cs="Arial"/>
          <w:sz w:val="24"/>
          <w:szCs w:val="24"/>
        </w:rPr>
      </w:pPr>
      <w:r w:rsidRPr="005B23F7">
        <w:rPr>
          <w:rFonts w:ascii="Arial" w:hAnsi="Arial" w:cs="Arial"/>
          <w:sz w:val="24"/>
          <w:szCs w:val="24"/>
        </w:rPr>
        <w:t>Υφιστάμενα εμπόδια εισόδου (νομικά ή πραγματικά) δυνητικών ανταγωνιστών στη σχετική αγορά: Όταν η είσοδος στη σχετική αγορά είναι αρκετά εύκολη, η συγκέντρωση δεν είναι πιθανό να δημιουργήσει σημαντικούς κινδύνους για τον ανταγωνισμό.</w:t>
      </w:r>
    </w:p>
    <w:p w:rsidR="008E516B" w:rsidRPr="005B23F7" w:rsidRDefault="008E516B" w:rsidP="0055297E">
      <w:pPr>
        <w:pStyle w:val="a3"/>
        <w:numPr>
          <w:ilvl w:val="0"/>
          <w:numId w:val="13"/>
        </w:numPr>
        <w:spacing w:after="0" w:line="240" w:lineRule="auto"/>
        <w:ind w:left="1843"/>
        <w:jc w:val="both"/>
        <w:rPr>
          <w:rFonts w:ascii="Arial" w:hAnsi="Arial" w:cs="Arial"/>
          <w:sz w:val="24"/>
          <w:szCs w:val="24"/>
        </w:rPr>
      </w:pPr>
      <w:r w:rsidRPr="005B23F7">
        <w:rPr>
          <w:rFonts w:ascii="Arial" w:hAnsi="Arial" w:cs="Arial"/>
          <w:sz w:val="24"/>
          <w:szCs w:val="24"/>
        </w:rPr>
        <w:lastRenderedPageBreak/>
        <w:t xml:space="preserve">Βελτίωση της αποτελεσματικότητας: </w:t>
      </w:r>
      <w:r w:rsidR="00310EAD" w:rsidRPr="005B23F7">
        <w:rPr>
          <w:rFonts w:ascii="Arial" w:hAnsi="Arial" w:cs="Arial"/>
          <w:sz w:val="24"/>
          <w:szCs w:val="24"/>
        </w:rPr>
        <w:t>Η προκαλούμενη από τη συγκέντρωση βελτίωση της αποτελεσματικότητας είναι δυνατόν να εξουδετερώνει τις δυσμενείς για τον ανταγωνισμό συνέπειες της συγκέντρωσης και, ιδίως, τη δυνητική ζημία για τους καταναλωτές.</w:t>
      </w:r>
    </w:p>
    <w:p w:rsidR="00310EAD" w:rsidRPr="005B23F7" w:rsidRDefault="00310EAD" w:rsidP="0055297E">
      <w:pPr>
        <w:pStyle w:val="a3"/>
        <w:numPr>
          <w:ilvl w:val="0"/>
          <w:numId w:val="13"/>
        </w:numPr>
        <w:spacing w:after="0" w:line="240" w:lineRule="auto"/>
        <w:ind w:left="1843"/>
        <w:jc w:val="both"/>
        <w:rPr>
          <w:rFonts w:ascii="Arial" w:hAnsi="Arial" w:cs="Arial"/>
          <w:sz w:val="24"/>
          <w:szCs w:val="24"/>
        </w:rPr>
      </w:pPr>
      <w:r w:rsidRPr="005B23F7">
        <w:rPr>
          <w:rFonts w:ascii="Arial" w:hAnsi="Arial" w:cs="Arial"/>
          <w:sz w:val="24"/>
          <w:szCs w:val="24"/>
        </w:rPr>
        <w:t xml:space="preserve">Αιτιώδης σύνδεσμος μεταξύ της συγκέντρωσης και της δημιουργίας ή της ενίσχυσης δεσπόζουσας θέσης στην κοινή αγορά ή σε σημαντικό τμήμα της: Για την απαγόρευση της συγκέντρωσης </w:t>
      </w:r>
      <w:r w:rsidR="00FC43A5">
        <w:rPr>
          <w:rFonts w:ascii="Arial" w:hAnsi="Arial" w:cs="Arial"/>
          <w:sz w:val="24"/>
          <w:szCs w:val="24"/>
        </w:rPr>
        <w:t>απαιτείται να διαπιστώνεται η</w:t>
      </w:r>
      <w:r w:rsidRPr="005B23F7">
        <w:rPr>
          <w:rFonts w:ascii="Arial" w:hAnsi="Arial" w:cs="Arial"/>
          <w:sz w:val="24"/>
          <w:szCs w:val="24"/>
        </w:rPr>
        <w:t xml:space="preserve"> ύπαρξη αιτιώδους συνδέσμου μεταξύ της πράξης της συγκέντρωσης και του προκαλούμενου σημαντικού περιορισμού του ανταγωνισμού, ιδίως με τη δημιουργία ή την ενίσχυση δεσπόζουσας θέσης στη σχετική αγορά (</w:t>
      </w:r>
      <w:r w:rsidRPr="005B23F7">
        <w:rPr>
          <w:rFonts w:ascii="Arial" w:hAnsi="Arial" w:cs="Arial"/>
          <w:sz w:val="24"/>
          <w:szCs w:val="24"/>
          <w:lang w:val="en-US"/>
        </w:rPr>
        <w:t>failing</w:t>
      </w:r>
      <w:r w:rsidRPr="005B23F7">
        <w:rPr>
          <w:rFonts w:ascii="Arial" w:hAnsi="Arial" w:cs="Arial"/>
          <w:sz w:val="24"/>
          <w:szCs w:val="24"/>
        </w:rPr>
        <w:t xml:space="preserve"> </w:t>
      </w:r>
      <w:r w:rsidRPr="005B23F7">
        <w:rPr>
          <w:rFonts w:ascii="Arial" w:hAnsi="Arial" w:cs="Arial"/>
          <w:sz w:val="24"/>
          <w:szCs w:val="24"/>
          <w:lang w:val="en-US"/>
        </w:rPr>
        <w:t>firm</w:t>
      </w:r>
      <w:r w:rsidRPr="005B23F7">
        <w:rPr>
          <w:rFonts w:ascii="Arial" w:hAnsi="Arial" w:cs="Arial"/>
          <w:sz w:val="24"/>
          <w:szCs w:val="24"/>
        </w:rPr>
        <w:t xml:space="preserve"> </w:t>
      </w:r>
      <w:r w:rsidRPr="005B23F7">
        <w:rPr>
          <w:rFonts w:ascii="Arial" w:hAnsi="Arial" w:cs="Arial"/>
          <w:sz w:val="24"/>
          <w:szCs w:val="24"/>
          <w:lang w:val="en-US"/>
        </w:rPr>
        <w:t>defense</w:t>
      </w:r>
      <w:r w:rsidRPr="005B23F7">
        <w:rPr>
          <w:rFonts w:ascii="Arial" w:hAnsi="Arial" w:cs="Arial"/>
          <w:sz w:val="24"/>
          <w:szCs w:val="24"/>
        </w:rPr>
        <w:t>).</w:t>
      </w:r>
    </w:p>
    <w:p w:rsidR="00310EAD" w:rsidRPr="005B23F7" w:rsidRDefault="00310EAD" w:rsidP="0055297E">
      <w:pPr>
        <w:pStyle w:val="a3"/>
        <w:spacing w:after="0" w:line="240" w:lineRule="auto"/>
        <w:ind w:left="1843"/>
        <w:jc w:val="both"/>
        <w:rPr>
          <w:rFonts w:ascii="Arial" w:hAnsi="Arial" w:cs="Arial"/>
          <w:sz w:val="24"/>
          <w:szCs w:val="24"/>
        </w:rPr>
      </w:pPr>
    </w:p>
    <w:p w:rsidR="00945B3E" w:rsidRPr="005B23F7" w:rsidRDefault="00310EAD" w:rsidP="0055297E">
      <w:pPr>
        <w:pStyle w:val="a3"/>
        <w:numPr>
          <w:ilvl w:val="0"/>
          <w:numId w:val="14"/>
        </w:numPr>
        <w:spacing w:after="0" w:line="240" w:lineRule="auto"/>
        <w:ind w:left="709"/>
        <w:jc w:val="both"/>
        <w:rPr>
          <w:rFonts w:ascii="Arial" w:hAnsi="Arial" w:cs="Arial"/>
          <w:sz w:val="24"/>
          <w:szCs w:val="24"/>
        </w:rPr>
      </w:pPr>
      <w:r w:rsidRPr="005B23F7">
        <w:rPr>
          <w:rFonts w:ascii="Arial" w:hAnsi="Arial" w:cs="Arial"/>
          <w:b/>
          <w:sz w:val="24"/>
          <w:szCs w:val="24"/>
        </w:rPr>
        <w:t>Ειδικές αρχές αξιολόγησης ως προς τις οριζόντιες συγκεντρώσεις (ή συγκεντρώσεις που οδηγούν σε συντονισμένη συμπεριφορά):</w:t>
      </w:r>
    </w:p>
    <w:p w:rsidR="00310EAD" w:rsidRPr="005B23F7" w:rsidRDefault="00310EAD" w:rsidP="0055297E">
      <w:pPr>
        <w:pStyle w:val="a3"/>
        <w:numPr>
          <w:ilvl w:val="1"/>
          <w:numId w:val="14"/>
        </w:numPr>
        <w:spacing w:after="0" w:line="240" w:lineRule="auto"/>
        <w:ind w:left="1843"/>
        <w:jc w:val="both"/>
        <w:rPr>
          <w:rFonts w:ascii="Arial" w:hAnsi="Arial" w:cs="Arial"/>
          <w:sz w:val="24"/>
          <w:szCs w:val="24"/>
        </w:rPr>
      </w:pPr>
      <w:r w:rsidRPr="005B23F7">
        <w:rPr>
          <w:rFonts w:ascii="Arial" w:hAnsi="Arial" w:cs="Arial"/>
          <w:sz w:val="24"/>
          <w:szCs w:val="24"/>
        </w:rPr>
        <w:t>Συγκεντρώσεις σε αγορές που παρουσιάζουν υψηλό βαθμό συγκέντρωσης μπορεί να εμποδίσουν σημαντικά τον αποτελεσματικό ανταγωνισμό, με τη δημιουργία ή την ενίσχυση συλλογικής δεσπόζουσας θέσης, επειδή αυξάνουν την πιθανότητα συντονισμού της συμπεριφοράς των επιχειρήσεων ή καθιστούν ευκολότερο τον συντονισμό και, με τον τρόπο αυτό, την αύξηση των τιμών ή τον περιορισμό της παραγωγικής ικανότητας ή τη γεωγραφική κατανομή των αγορών, ακόμα και χωρίς προσφυγή σε συμφωνία ή εναρμονισμένη πρακτική με την έννοια του άρθρου 101 παρ. 1 ΣΛΕΕ.</w:t>
      </w:r>
    </w:p>
    <w:p w:rsidR="00310EAD" w:rsidRPr="005B23F7" w:rsidRDefault="00310EAD" w:rsidP="0055297E">
      <w:pPr>
        <w:pStyle w:val="a3"/>
        <w:numPr>
          <w:ilvl w:val="1"/>
          <w:numId w:val="14"/>
        </w:numPr>
        <w:spacing w:after="0" w:line="240" w:lineRule="auto"/>
        <w:ind w:left="1843"/>
        <w:jc w:val="both"/>
        <w:rPr>
          <w:rFonts w:ascii="Arial" w:hAnsi="Arial" w:cs="Arial"/>
          <w:sz w:val="24"/>
          <w:szCs w:val="24"/>
        </w:rPr>
      </w:pPr>
      <w:r w:rsidRPr="005B23F7">
        <w:rPr>
          <w:rFonts w:ascii="Arial" w:hAnsi="Arial" w:cs="Arial"/>
          <w:sz w:val="24"/>
          <w:szCs w:val="24"/>
        </w:rPr>
        <w:t>Συντονισμός είναι πιθανότερο να ανακύψει σε αγορές στις οποίες είναι σχετικά απλό για τα μέρη να καταλήξουν σε συνεννόηση όσον αφορά τους όρους του συντονισμού.</w:t>
      </w:r>
    </w:p>
    <w:p w:rsidR="00310EAD" w:rsidRPr="005B23F7" w:rsidRDefault="00310EAD" w:rsidP="0055297E">
      <w:pPr>
        <w:pStyle w:val="a3"/>
        <w:numPr>
          <w:ilvl w:val="1"/>
          <w:numId w:val="14"/>
        </w:numPr>
        <w:spacing w:after="0" w:line="240" w:lineRule="auto"/>
        <w:ind w:left="1843"/>
        <w:jc w:val="both"/>
        <w:rPr>
          <w:rFonts w:ascii="Arial" w:hAnsi="Arial" w:cs="Arial"/>
          <w:sz w:val="24"/>
          <w:szCs w:val="24"/>
        </w:rPr>
      </w:pPr>
      <w:r w:rsidRPr="005B23F7">
        <w:rPr>
          <w:rFonts w:ascii="Arial" w:hAnsi="Arial" w:cs="Arial"/>
          <w:sz w:val="24"/>
          <w:szCs w:val="24"/>
        </w:rPr>
        <w:t>Ο συντονισμός πρέπει να αποδεικνύεται βιώσιμος, το οποίο σημαίνει ότι οι επιχειρήσεις πρέπει να είναι σε θέση να ελέγχουν σε επαρκή βαθμό την τήρηση των όρων του συντονισμού, να υπάρχουν επαρκείς αποτρεπτικοί μηχανισμοί σε περίπτωση παρέκκλισης και οι πραγματικοί ή δυνητικοί ανταγωνιστές τους να μην είναι ικανοί να θέσουν σε κίνδυνο τα προσδοκώμενα από τον συντονισμό αποτελέσματα.</w:t>
      </w:r>
    </w:p>
    <w:p w:rsidR="00310EAD" w:rsidRPr="005B23F7" w:rsidRDefault="00310EAD" w:rsidP="0055297E">
      <w:pPr>
        <w:pStyle w:val="a3"/>
        <w:spacing w:after="0" w:line="240" w:lineRule="auto"/>
        <w:ind w:left="1843"/>
        <w:jc w:val="both"/>
        <w:rPr>
          <w:rFonts w:ascii="Arial" w:hAnsi="Arial" w:cs="Arial"/>
          <w:sz w:val="24"/>
          <w:szCs w:val="24"/>
        </w:rPr>
      </w:pPr>
    </w:p>
    <w:p w:rsidR="00310EAD" w:rsidRPr="005B23F7" w:rsidRDefault="005B23F7" w:rsidP="0055297E">
      <w:pPr>
        <w:pStyle w:val="a3"/>
        <w:numPr>
          <w:ilvl w:val="0"/>
          <w:numId w:val="14"/>
        </w:numPr>
        <w:spacing w:after="0" w:line="240" w:lineRule="auto"/>
        <w:ind w:left="709"/>
        <w:jc w:val="both"/>
        <w:rPr>
          <w:rFonts w:ascii="Arial" w:hAnsi="Arial" w:cs="Arial"/>
          <w:sz w:val="24"/>
          <w:szCs w:val="24"/>
        </w:rPr>
      </w:pPr>
      <w:r w:rsidRPr="005B23F7">
        <w:rPr>
          <w:rFonts w:ascii="Arial" w:hAnsi="Arial" w:cs="Arial"/>
          <w:b/>
          <w:sz w:val="24"/>
          <w:szCs w:val="24"/>
        </w:rPr>
        <w:t>Ειδικές αρχές αξιολόγησης ως προς τις μη οριζόντιες συγκεντρώσεις (ή συγκεντρώσεις που οδηγούν σε συντονισμένη συμπεριφορά):</w:t>
      </w:r>
    </w:p>
    <w:p w:rsidR="005B23F7" w:rsidRPr="005B23F7" w:rsidRDefault="005B23F7" w:rsidP="0055297E">
      <w:pPr>
        <w:pStyle w:val="a3"/>
        <w:numPr>
          <w:ilvl w:val="1"/>
          <w:numId w:val="14"/>
        </w:numPr>
        <w:spacing w:after="0" w:line="240" w:lineRule="auto"/>
        <w:ind w:left="1843"/>
        <w:jc w:val="both"/>
        <w:rPr>
          <w:rFonts w:ascii="Arial" w:hAnsi="Arial" w:cs="Arial"/>
          <w:sz w:val="24"/>
          <w:szCs w:val="24"/>
        </w:rPr>
      </w:pPr>
      <w:r w:rsidRPr="005B23F7">
        <w:rPr>
          <w:rFonts w:ascii="Arial" w:hAnsi="Arial" w:cs="Arial"/>
          <w:sz w:val="24"/>
          <w:szCs w:val="24"/>
          <w:lang w:val="en-US"/>
        </w:rPr>
        <w:t>O</w:t>
      </w:r>
      <w:r w:rsidRPr="005B23F7">
        <w:rPr>
          <w:rFonts w:ascii="Arial" w:hAnsi="Arial" w:cs="Arial"/>
          <w:sz w:val="24"/>
          <w:szCs w:val="24"/>
        </w:rPr>
        <w:t>ι μη οριζόντιες συγκεντρώσεις δεν συνεπάγονται άμεσα τον περιορισμό του ανταγωνισμού μεταξύ των επιχειρήσεων που συμμετέχουν στη συγκέντρωση στην ίδια σχετική αγορά.</w:t>
      </w:r>
    </w:p>
    <w:p w:rsidR="005B23F7" w:rsidRPr="005B23F7" w:rsidRDefault="005B23F7" w:rsidP="0055297E">
      <w:pPr>
        <w:pStyle w:val="a3"/>
        <w:numPr>
          <w:ilvl w:val="1"/>
          <w:numId w:val="14"/>
        </w:numPr>
        <w:spacing w:after="0" w:line="240" w:lineRule="auto"/>
        <w:ind w:left="1843"/>
        <w:jc w:val="both"/>
        <w:rPr>
          <w:rFonts w:ascii="Arial" w:hAnsi="Arial" w:cs="Arial"/>
          <w:sz w:val="24"/>
          <w:szCs w:val="24"/>
        </w:rPr>
      </w:pPr>
      <w:r w:rsidRPr="005B23F7">
        <w:rPr>
          <w:rFonts w:ascii="Arial" w:hAnsi="Arial" w:cs="Arial"/>
          <w:sz w:val="24"/>
          <w:szCs w:val="24"/>
          <w:lang w:val="en-US"/>
        </w:rPr>
        <w:t>O</w:t>
      </w:r>
      <w:r w:rsidRPr="005B23F7">
        <w:rPr>
          <w:rFonts w:ascii="Arial" w:hAnsi="Arial" w:cs="Arial"/>
          <w:sz w:val="24"/>
          <w:szCs w:val="24"/>
        </w:rPr>
        <w:t xml:space="preserve">ι κάθετες συγκεντρώσεις και οι συγκεντρώσεις επιχειρήσεων ετερογενών δραστηριοτήτων παρέχουν </w:t>
      </w:r>
      <w:r w:rsidRPr="005B23F7">
        <w:rPr>
          <w:rFonts w:ascii="Arial" w:hAnsi="Arial" w:cs="Arial"/>
          <w:sz w:val="24"/>
          <w:szCs w:val="24"/>
        </w:rPr>
        <w:lastRenderedPageBreak/>
        <w:t>σημαντικό περιθώριο για βελτίωση της αποτελεσματικότητας.</w:t>
      </w:r>
    </w:p>
    <w:p w:rsidR="005B23F7" w:rsidRPr="005B23F7" w:rsidRDefault="005B23F7" w:rsidP="0055297E">
      <w:pPr>
        <w:pStyle w:val="a3"/>
        <w:numPr>
          <w:ilvl w:val="1"/>
          <w:numId w:val="14"/>
        </w:numPr>
        <w:spacing w:after="0" w:line="240" w:lineRule="auto"/>
        <w:ind w:left="1843"/>
        <w:jc w:val="both"/>
        <w:rPr>
          <w:rFonts w:ascii="Arial" w:hAnsi="Arial" w:cs="Arial"/>
          <w:sz w:val="24"/>
          <w:szCs w:val="24"/>
        </w:rPr>
      </w:pPr>
      <w:r w:rsidRPr="005B23F7">
        <w:rPr>
          <w:rFonts w:ascii="Arial" w:hAnsi="Arial" w:cs="Arial"/>
          <w:sz w:val="24"/>
          <w:szCs w:val="24"/>
          <w:lang w:val="en-US"/>
        </w:rPr>
        <w:t>O</w:t>
      </w:r>
      <w:r w:rsidRPr="005B23F7">
        <w:rPr>
          <w:rFonts w:ascii="Arial" w:hAnsi="Arial" w:cs="Arial"/>
          <w:sz w:val="24"/>
          <w:szCs w:val="24"/>
        </w:rPr>
        <w:t>ι μη οριζόντιες συγκεντρώσεις ενδέχε</w:t>
      </w:r>
      <w:bookmarkStart w:id="0" w:name="_GoBack"/>
      <w:bookmarkEnd w:id="0"/>
      <w:r w:rsidRPr="005B23F7">
        <w:rPr>
          <w:rFonts w:ascii="Arial" w:hAnsi="Arial" w:cs="Arial"/>
          <w:sz w:val="24"/>
          <w:szCs w:val="24"/>
        </w:rPr>
        <w:t xml:space="preserve">ται να παρεμποδίζουν σημαντικά τον αποτελεσματικό ανταγωνισμό προκαλώντας συντονισμένα ή μη συντονισμένα αποτελέσματα. Μη συντονισμένα αποτελέσματα ενδέχεται, κυρίως, να προκύψουν, όταν οι μη οριζόντιες συγκεντρώσεις έχουν ως αποτέλεσμα τον αποκλεισμό από την αγορά. Συντονισμένα αποτελέσματα προκύπτουν όταν η συγκέντρωση μεταβάλλει τη φύση του ανταγωνισμού, κατά τρόπο ώστε να αυξάνεται σημαντικά η πιθανότητα να συντονίζουν στο εξής τη συμπεριφορά τους επιχειρήσεις που δεν το έπρατταν προηγουμένως, προκειμένου να αυξήσουν τις τιμές ή να παρεμποδίσουν με οποιονδήποτε άλλο τρόπο τον αποτελεσματικό ανταγωνισμό. </w:t>
      </w:r>
    </w:p>
    <w:p w:rsidR="005B23F7" w:rsidRPr="005B23F7" w:rsidRDefault="005B23F7" w:rsidP="0055297E">
      <w:pPr>
        <w:pStyle w:val="a3"/>
        <w:spacing w:after="0" w:line="240" w:lineRule="auto"/>
        <w:ind w:left="709"/>
        <w:jc w:val="both"/>
        <w:rPr>
          <w:rFonts w:ascii="Arial" w:hAnsi="Arial" w:cs="Arial"/>
          <w:sz w:val="24"/>
          <w:szCs w:val="24"/>
        </w:rPr>
      </w:pPr>
    </w:p>
    <w:p w:rsidR="00DC4653" w:rsidRPr="005B23F7" w:rsidRDefault="00DC4653" w:rsidP="0055297E">
      <w:pPr>
        <w:pStyle w:val="a3"/>
        <w:spacing w:after="0" w:line="240" w:lineRule="auto"/>
        <w:ind w:left="1418"/>
        <w:jc w:val="both"/>
        <w:rPr>
          <w:rFonts w:ascii="Arial" w:hAnsi="Arial" w:cs="Arial"/>
          <w:sz w:val="24"/>
          <w:szCs w:val="24"/>
        </w:rPr>
      </w:pPr>
    </w:p>
    <w:p w:rsidR="00F018B1" w:rsidRPr="005B23F7" w:rsidRDefault="00F018B1" w:rsidP="0055297E">
      <w:pPr>
        <w:pStyle w:val="a3"/>
        <w:spacing w:after="0" w:line="240" w:lineRule="auto"/>
        <w:ind w:left="1418"/>
        <w:jc w:val="both"/>
        <w:rPr>
          <w:rFonts w:ascii="Arial" w:hAnsi="Arial" w:cs="Arial"/>
          <w:sz w:val="24"/>
          <w:szCs w:val="24"/>
        </w:rPr>
      </w:pPr>
      <w:r w:rsidRPr="005B23F7">
        <w:rPr>
          <w:rFonts w:ascii="Arial" w:hAnsi="Arial" w:cs="Arial"/>
          <w:sz w:val="24"/>
          <w:szCs w:val="24"/>
        </w:rPr>
        <w:t xml:space="preserve"> </w:t>
      </w:r>
    </w:p>
    <w:p w:rsidR="00C765B3" w:rsidRPr="005B23F7" w:rsidRDefault="00C765B3" w:rsidP="0055297E">
      <w:pPr>
        <w:pStyle w:val="a3"/>
        <w:spacing w:after="0" w:line="240" w:lineRule="auto"/>
        <w:ind w:left="1418"/>
        <w:jc w:val="both"/>
        <w:rPr>
          <w:rFonts w:ascii="Arial" w:hAnsi="Arial" w:cs="Arial"/>
          <w:sz w:val="24"/>
          <w:szCs w:val="24"/>
        </w:rPr>
      </w:pPr>
    </w:p>
    <w:sectPr w:rsidR="00C765B3" w:rsidRPr="005B23F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D0" w:rsidRDefault="006A19D0" w:rsidP="00333F5B">
      <w:pPr>
        <w:spacing w:after="0" w:line="240" w:lineRule="auto"/>
      </w:pPr>
      <w:r>
        <w:separator/>
      </w:r>
    </w:p>
  </w:endnote>
  <w:endnote w:type="continuationSeparator" w:id="0">
    <w:p w:rsidR="006A19D0" w:rsidRDefault="006A19D0" w:rsidP="0033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74302"/>
      <w:docPartObj>
        <w:docPartGallery w:val="Page Numbers (Bottom of Page)"/>
        <w:docPartUnique/>
      </w:docPartObj>
    </w:sdtPr>
    <w:sdtEndPr/>
    <w:sdtContent>
      <w:p w:rsidR="005B23F7" w:rsidRDefault="005B23F7">
        <w:pPr>
          <w:pStyle w:val="a7"/>
          <w:jc w:val="center"/>
        </w:pPr>
        <w:r>
          <w:fldChar w:fldCharType="begin"/>
        </w:r>
        <w:r>
          <w:instrText>PAGE   \* MERGEFORMAT</w:instrText>
        </w:r>
        <w:r>
          <w:fldChar w:fldCharType="separate"/>
        </w:r>
        <w:r w:rsidR="00FC43A5">
          <w:rPr>
            <w:noProof/>
          </w:rPr>
          <w:t>13</w:t>
        </w:r>
        <w:r>
          <w:fldChar w:fldCharType="end"/>
        </w:r>
      </w:p>
    </w:sdtContent>
  </w:sdt>
  <w:p w:rsidR="005B23F7" w:rsidRDefault="005B23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D0" w:rsidRDefault="006A19D0" w:rsidP="00333F5B">
      <w:pPr>
        <w:spacing w:after="0" w:line="240" w:lineRule="auto"/>
      </w:pPr>
      <w:r>
        <w:separator/>
      </w:r>
    </w:p>
  </w:footnote>
  <w:footnote w:type="continuationSeparator" w:id="0">
    <w:p w:rsidR="006A19D0" w:rsidRDefault="006A19D0" w:rsidP="00333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23A"/>
    <w:multiLevelType w:val="hybridMultilevel"/>
    <w:tmpl w:val="5148A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BE1475"/>
    <w:multiLevelType w:val="hybridMultilevel"/>
    <w:tmpl w:val="3372ECCC"/>
    <w:lvl w:ilvl="0" w:tplc="04080001">
      <w:start w:val="1"/>
      <w:numFmt w:val="bullet"/>
      <w:lvlText w:val=""/>
      <w:lvlJc w:val="left"/>
      <w:pPr>
        <w:ind w:left="2138" w:hanging="360"/>
      </w:pPr>
      <w:rPr>
        <w:rFonts w:ascii="Symbol" w:hAnsi="Symbol" w:hint="default"/>
      </w:rPr>
    </w:lvl>
    <w:lvl w:ilvl="1" w:tplc="14E043E2">
      <w:start w:val="1"/>
      <w:numFmt w:val="bullet"/>
      <w:lvlText w:val="o"/>
      <w:lvlJc w:val="left"/>
      <w:pPr>
        <w:ind w:left="2858" w:hanging="360"/>
      </w:pPr>
      <w:rPr>
        <w:rFonts w:ascii="Arial" w:hAnsi="Arial" w:cs="Arial" w:hint="default"/>
        <w:sz w:val="24"/>
        <w:szCs w:val="24"/>
      </w:rPr>
    </w:lvl>
    <w:lvl w:ilvl="2" w:tplc="04080005">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
    <w:nsid w:val="1C1D3845"/>
    <w:multiLevelType w:val="hybridMultilevel"/>
    <w:tmpl w:val="1688DA6A"/>
    <w:lvl w:ilvl="0" w:tplc="04080001">
      <w:start w:val="1"/>
      <w:numFmt w:val="bullet"/>
      <w:lvlText w:val=""/>
      <w:lvlJc w:val="left"/>
      <w:pPr>
        <w:ind w:left="2138" w:hanging="360"/>
      </w:pPr>
      <w:rPr>
        <w:rFonts w:ascii="Symbol" w:hAnsi="Symbol" w:hint="default"/>
      </w:rPr>
    </w:lvl>
    <w:lvl w:ilvl="1" w:tplc="04080003">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
    <w:nsid w:val="1E1C452E"/>
    <w:multiLevelType w:val="hybridMultilevel"/>
    <w:tmpl w:val="24CAC67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28E47BF6"/>
    <w:multiLevelType w:val="hybridMultilevel"/>
    <w:tmpl w:val="9EC8F47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B5205B"/>
    <w:multiLevelType w:val="hybridMultilevel"/>
    <w:tmpl w:val="F154CF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9A5E7C"/>
    <w:multiLevelType w:val="hybridMultilevel"/>
    <w:tmpl w:val="10F6F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3208AC"/>
    <w:multiLevelType w:val="hybridMultilevel"/>
    <w:tmpl w:val="27A2B6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D8203F"/>
    <w:multiLevelType w:val="hybridMultilevel"/>
    <w:tmpl w:val="B3AA102C"/>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545F150B"/>
    <w:multiLevelType w:val="hybridMultilevel"/>
    <w:tmpl w:val="F0B27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B9001B"/>
    <w:multiLevelType w:val="hybridMultilevel"/>
    <w:tmpl w:val="57000308"/>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11">
    <w:nsid w:val="71E00076"/>
    <w:multiLevelType w:val="hybridMultilevel"/>
    <w:tmpl w:val="AA2E33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46D4BDF"/>
    <w:multiLevelType w:val="hybridMultilevel"/>
    <w:tmpl w:val="03B8E82C"/>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7BA36B03"/>
    <w:multiLevelType w:val="hybridMultilevel"/>
    <w:tmpl w:val="86667710"/>
    <w:lvl w:ilvl="0" w:tplc="04080001">
      <w:start w:val="1"/>
      <w:numFmt w:val="bullet"/>
      <w:lvlText w:val=""/>
      <w:lvlJc w:val="left"/>
      <w:pPr>
        <w:ind w:left="2138" w:hanging="360"/>
      </w:pPr>
      <w:rPr>
        <w:rFonts w:ascii="Symbol" w:hAnsi="Symbol" w:hint="default"/>
      </w:rPr>
    </w:lvl>
    <w:lvl w:ilvl="1" w:tplc="04080003">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6"/>
  </w:num>
  <w:num w:numId="2">
    <w:abstractNumId w:val="11"/>
  </w:num>
  <w:num w:numId="3">
    <w:abstractNumId w:val="8"/>
  </w:num>
  <w:num w:numId="4">
    <w:abstractNumId w:val="9"/>
  </w:num>
  <w:num w:numId="5">
    <w:abstractNumId w:val="7"/>
  </w:num>
  <w:num w:numId="6">
    <w:abstractNumId w:val="10"/>
  </w:num>
  <w:num w:numId="7">
    <w:abstractNumId w:val="4"/>
  </w:num>
  <w:num w:numId="8">
    <w:abstractNumId w:val="2"/>
  </w:num>
  <w:num w:numId="9">
    <w:abstractNumId w:val="1"/>
  </w:num>
  <w:num w:numId="10">
    <w:abstractNumId w:val="3"/>
  </w:num>
  <w:num w:numId="11">
    <w:abstractNumId w:val="1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7A"/>
    <w:rsid w:val="001020ED"/>
    <w:rsid w:val="00102DED"/>
    <w:rsid w:val="001F5C13"/>
    <w:rsid w:val="002D41BF"/>
    <w:rsid w:val="002E4860"/>
    <w:rsid w:val="00310EAD"/>
    <w:rsid w:val="00333F5B"/>
    <w:rsid w:val="00341800"/>
    <w:rsid w:val="003D7F4E"/>
    <w:rsid w:val="00411DAA"/>
    <w:rsid w:val="00484EB7"/>
    <w:rsid w:val="004F55CE"/>
    <w:rsid w:val="0055297E"/>
    <w:rsid w:val="005B23F7"/>
    <w:rsid w:val="005C2950"/>
    <w:rsid w:val="0067361B"/>
    <w:rsid w:val="006A17A5"/>
    <w:rsid w:val="006A19D0"/>
    <w:rsid w:val="006A39F6"/>
    <w:rsid w:val="008C10F4"/>
    <w:rsid w:val="008E516B"/>
    <w:rsid w:val="009222D7"/>
    <w:rsid w:val="00945B3E"/>
    <w:rsid w:val="00977200"/>
    <w:rsid w:val="00A50327"/>
    <w:rsid w:val="00AE7A16"/>
    <w:rsid w:val="00B61BFF"/>
    <w:rsid w:val="00C57148"/>
    <w:rsid w:val="00C765B3"/>
    <w:rsid w:val="00D00055"/>
    <w:rsid w:val="00D06E13"/>
    <w:rsid w:val="00D1030D"/>
    <w:rsid w:val="00DB5E21"/>
    <w:rsid w:val="00DC4653"/>
    <w:rsid w:val="00E02A10"/>
    <w:rsid w:val="00EF217A"/>
    <w:rsid w:val="00F018B1"/>
    <w:rsid w:val="00F04B27"/>
    <w:rsid w:val="00F17829"/>
    <w:rsid w:val="00F56E78"/>
    <w:rsid w:val="00FB530A"/>
    <w:rsid w:val="00FC4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17A"/>
    <w:pPr>
      <w:ind w:left="720"/>
      <w:contextualSpacing/>
    </w:pPr>
  </w:style>
  <w:style w:type="paragraph" w:styleId="a4">
    <w:name w:val="footnote text"/>
    <w:basedOn w:val="a"/>
    <w:link w:val="Char"/>
    <w:uiPriority w:val="99"/>
    <w:unhideWhenUsed/>
    <w:rsid w:val="00333F5B"/>
    <w:pPr>
      <w:spacing w:after="0" w:line="240" w:lineRule="auto"/>
    </w:pPr>
    <w:rPr>
      <w:sz w:val="20"/>
      <w:szCs w:val="20"/>
    </w:rPr>
  </w:style>
  <w:style w:type="character" w:customStyle="1" w:styleId="Char">
    <w:name w:val="Κείμενο υποσημείωσης Char"/>
    <w:basedOn w:val="a0"/>
    <w:link w:val="a4"/>
    <w:uiPriority w:val="99"/>
    <w:rsid w:val="00333F5B"/>
    <w:rPr>
      <w:sz w:val="20"/>
      <w:szCs w:val="20"/>
    </w:rPr>
  </w:style>
  <w:style w:type="character" w:styleId="a5">
    <w:name w:val="footnote reference"/>
    <w:basedOn w:val="a0"/>
    <w:uiPriority w:val="99"/>
    <w:semiHidden/>
    <w:unhideWhenUsed/>
    <w:rsid w:val="00333F5B"/>
    <w:rPr>
      <w:vertAlign w:val="superscript"/>
    </w:rPr>
  </w:style>
  <w:style w:type="paragraph" w:styleId="a6">
    <w:name w:val="header"/>
    <w:basedOn w:val="a"/>
    <w:link w:val="Char0"/>
    <w:uiPriority w:val="99"/>
    <w:unhideWhenUsed/>
    <w:rsid w:val="005B23F7"/>
    <w:pPr>
      <w:tabs>
        <w:tab w:val="center" w:pos="4153"/>
        <w:tab w:val="right" w:pos="8306"/>
      </w:tabs>
      <w:spacing w:after="0" w:line="240" w:lineRule="auto"/>
    </w:pPr>
  </w:style>
  <w:style w:type="character" w:customStyle="1" w:styleId="Char0">
    <w:name w:val="Κεφαλίδα Char"/>
    <w:basedOn w:val="a0"/>
    <w:link w:val="a6"/>
    <w:uiPriority w:val="99"/>
    <w:rsid w:val="005B23F7"/>
  </w:style>
  <w:style w:type="paragraph" w:styleId="a7">
    <w:name w:val="footer"/>
    <w:basedOn w:val="a"/>
    <w:link w:val="Char1"/>
    <w:uiPriority w:val="99"/>
    <w:unhideWhenUsed/>
    <w:rsid w:val="005B23F7"/>
    <w:pPr>
      <w:tabs>
        <w:tab w:val="center" w:pos="4153"/>
        <w:tab w:val="right" w:pos="8306"/>
      </w:tabs>
      <w:spacing w:after="0" w:line="240" w:lineRule="auto"/>
    </w:pPr>
  </w:style>
  <w:style w:type="character" w:customStyle="1" w:styleId="Char1">
    <w:name w:val="Υποσέλιδο Char"/>
    <w:basedOn w:val="a0"/>
    <w:link w:val="a7"/>
    <w:uiPriority w:val="99"/>
    <w:rsid w:val="005B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17A"/>
    <w:pPr>
      <w:ind w:left="720"/>
      <w:contextualSpacing/>
    </w:pPr>
  </w:style>
  <w:style w:type="paragraph" w:styleId="a4">
    <w:name w:val="footnote text"/>
    <w:basedOn w:val="a"/>
    <w:link w:val="Char"/>
    <w:uiPriority w:val="99"/>
    <w:unhideWhenUsed/>
    <w:rsid w:val="00333F5B"/>
    <w:pPr>
      <w:spacing w:after="0" w:line="240" w:lineRule="auto"/>
    </w:pPr>
    <w:rPr>
      <w:sz w:val="20"/>
      <w:szCs w:val="20"/>
    </w:rPr>
  </w:style>
  <w:style w:type="character" w:customStyle="1" w:styleId="Char">
    <w:name w:val="Κείμενο υποσημείωσης Char"/>
    <w:basedOn w:val="a0"/>
    <w:link w:val="a4"/>
    <w:uiPriority w:val="99"/>
    <w:rsid w:val="00333F5B"/>
    <w:rPr>
      <w:sz w:val="20"/>
      <w:szCs w:val="20"/>
    </w:rPr>
  </w:style>
  <w:style w:type="character" w:styleId="a5">
    <w:name w:val="footnote reference"/>
    <w:basedOn w:val="a0"/>
    <w:uiPriority w:val="99"/>
    <w:semiHidden/>
    <w:unhideWhenUsed/>
    <w:rsid w:val="00333F5B"/>
    <w:rPr>
      <w:vertAlign w:val="superscript"/>
    </w:rPr>
  </w:style>
  <w:style w:type="paragraph" w:styleId="a6">
    <w:name w:val="header"/>
    <w:basedOn w:val="a"/>
    <w:link w:val="Char0"/>
    <w:uiPriority w:val="99"/>
    <w:unhideWhenUsed/>
    <w:rsid w:val="005B23F7"/>
    <w:pPr>
      <w:tabs>
        <w:tab w:val="center" w:pos="4153"/>
        <w:tab w:val="right" w:pos="8306"/>
      </w:tabs>
      <w:spacing w:after="0" w:line="240" w:lineRule="auto"/>
    </w:pPr>
  </w:style>
  <w:style w:type="character" w:customStyle="1" w:styleId="Char0">
    <w:name w:val="Κεφαλίδα Char"/>
    <w:basedOn w:val="a0"/>
    <w:link w:val="a6"/>
    <w:uiPriority w:val="99"/>
    <w:rsid w:val="005B23F7"/>
  </w:style>
  <w:style w:type="paragraph" w:styleId="a7">
    <w:name w:val="footer"/>
    <w:basedOn w:val="a"/>
    <w:link w:val="Char1"/>
    <w:uiPriority w:val="99"/>
    <w:unhideWhenUsed/>
    <w:rsid w:val="005B23F7"/>
    <w:pPr>
      <w:tabs>
        <w:tab w:val="center" w:pos="4153"/>
        <w:tab w:val="right" w:pos="8306"/>
      </w:tabs>
      <w:spacing w:after="0" w:line="240" w:lineRule="auto"/>
    </w:pPr>
  </w:style>
  <w:style w:type="character" w:customStyle="1" w:styleId="Char1">
    <w:name w:val="Υποσέλιδο Char"/>
    <w:basedOn w:val="a0"/>
    <w:link w:val="a7"/>
    <w:uiPriority w:val="99"/>
    <w:rsid w:val="005B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14</Pages>
  <Words>4207</Words>
  <Characters>22724</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2017-06-25T21:00:00Z</dcterms:created>
  <dcterms:modified xsi:type="dcterms:W3CDTF">2017-10-09T01:09:00Z</dcterms:modified>
</cp:coreProperties>
</file>