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F9" w:rsidRPr="00D405F5" w:rsidRDefault="008731A8" w:rsidP="00282692">
      <w:pPr>
        <w:spacing w:after="0" w:line="240" w:lineRule="auto"/>
        <w:jc w:val="center"/>
        <w:rPr>
          <w:rFonts w:ascii="Times New Roman" w:hAnsi="Times New Roman" w:cs="Times New Roman"/>
          <w:b/>
          <w:sz w:val="32"/>
          <w:szCs w:val="24"/>
        </w:rPr>
      </w:pPr>
      <w:r w:rsidRPr="00D405F5">
        <w:rPr>
          <w:rFonts w:ascii="Times New Roman" w:hAnsi="Times New Roman" w:cs="Times New Roman"/>
          <w:b/>
          <w:sz w:val="32"/>
          <w:szCs w:val="24"/>
        </w:rPr>
        <w:t>ΛΑΖΑΡΟΣ Γ. ΓΡΗΓΟΡΙΑΔΗΣ</w:t>
      </w:r>
    </w:p>
    <w:p w:rsidR="008731A8" w:rsidRPr="00D405F5" w:rsidRDefault="008731A8" w:rsidP="00282692">
      <w:pPr>
        <w:spacing w:after="0" w:line="240" w:lineRule="auto"/>
        <w:jc w:val="center"/>
        <w:rPr>
          <w:rFonts w:ascii="Times New Roman" w:hAnsi="Times New Roman" w:cs="Times New Roman"/>
          <w:b/>
          <w:sz w:val="32"/>
          <w:szCs w:val="24"/>
        </w:rPr>
      </w:pPr>
      <w:r w:rsidRPr="00D405F5">
        <w:rPr>
          <w:rFonts w:ascii="Times New Roman" w:hAnsi="Times New Roman" w:cs="Times New Roman"/>
          <w:b/>
          <w:sz w:val="32"/>
          <w:szCs w:val="24"/>
        </w:rPr>
        <w:t>ΔΝ, ΛΕΚΤΟΡΑΣ ΝΟΜΙΚΗΣ ΠΑΝΕΠΙΣΤΗΜΙΟΥ ΝΕΑΠΟΛΙΣ ΠΑΦΟΥ</w:t>
      </w:r>
    </w:p>
    <w:p w:rsidR="008731A8" w:rsidRPr="00282692" w:rsidRDefault="008731A8" w:rsidP="00282692">
      <w:pPr>
        <w:spacing w:after="0" w:line="240" w:lineRule="auto"/>
        <w:jc w:val="center"/>
        <w:rPr>
          <w:rFonts w:ascii="Times New Roman" w:hAnsi="Times New Roman" w:cs="Times New Roman"/>
          <w:b/>
          <w:sz w:val="24"/>
          <w:szCs w:val="24"/>
        </w:rPr>
      </w:pPr>
    </w:p>
    <w:p w:rsidR="00951804" w:rsidRPr="003A1CA4" w:rsidRDefault="00951804" w:rsidP="00282692">
      <w:pPr>
        <w:spacing w:after="0" w:line="240" w:lineRule="auto"/>
        <w:jc w:val="center"/>
        <w:rPr>
          <w:rFonts w:ascii="Times New Roman" w:hAnsi="Times New Roman" w:cs="Times New Roman"/>
          <w:i/>
          <w:sz w:val="32"/>
          <w:szCs w:val="24"/>
        </w:rPr>
      </w:pPr>
      <w:r w:rsidRPr="003A1CA4">
        <w:rPr>
          <w:rFonts w:ascii="Times New Roman" w:hAnsi="Times New Roman" w:cs="Times New Roman"/>
          <w:i/>
          <w:sz w:val="32"/>
          <w:szCs w:val="24"/>
        </w:rPr>
        <w:t>«Νομική αξιολόγηση των παραβάσεων των κανόνων του ελεύθερου ανταγωνισμού υπό το φως της οικονομικής ανάλυσης»</w:t>
      </w:r>
    </w:p>
    <w:p w:rsidR="00951804" w:rsidRPr="00282692" w:rsidRDefault="00951804" w:rsidP="00282692">
      <w:pPr>
        <w:spacing w:after="0" w:line="240" w:lineRule="auto"/>
        <w:jc w:val="center"/>
        <w:rPr>
          <w:rFonts w:ascii="Times New Roman" w:hAnsi="Times New Roman" w:cs="Times New Roman"/>
          <w:b/>
          <w:sz w:val="24"/>
          <w:szCs w:val="24"/>
        </w:rPr>
      </w:pPr>
    </w:p>
    <w:p w:rsidR="00AD7BFB" w:rsidRPr="00282692" w:rsidRDefault="00AD7BFB" w:rsidP="00282692">
      <w:pPr>
        <w:spacing w:after="0" w:line="240" w:lineRule="auto"/>
        <w:jc w:val="both"/>
        <w:rPr>
          <w:rFonts w:ascii="Times New Roman" w:hAnsi="Times New Roman" w:cs="Times New Roman"/>
          <w:b/>
          <w:sz w:val="24"/>
          <w:szCs w:val="24"/>
        </w:rPr>
      </w:pPr>
      <w:r w:rsidRPr="003A1CA4">
        <w:rPr>
          <w:rFonts w:ascii="Times New Roman" w:hAnsi="Times New Roman" w:cs="Times New Roman"/>
          <w:b/>
          <w:sz w:val="28"/>
          <w:szCs w:val="24"/>
          <w:lang w:val="en-US"/>
        </w:rPr>
        <w:t>I</w:t>
      </w:r>
      <w:r w:rsidRPr="003A1CA4">
        <w:rPr>
          <w:rFonts w:ascii="Times New Roman" w:hAnsi="Times New Roman" w:cs="Times New Roman"/>
          <w:b/>
          <w:sz w:val="28"/>
          <w:szCs w:val="24"/>
        </w:rPr>
        <w:t>. ΕΙΣΑΓΩΓΙΚΑ</w:t>
      </w:r>
    </w:p>
    <w:p w:rsidR="00CE0C88" w:rsidRPr="00282692" w:rsidRDefault="00CE0C88" w:rsidP="00282692">
      <w:pPr>
        <w:spacing w:after="0" w:line="240" w:lineRule="auto"/>
        <w:ind w:firstLine="720"/>
        <w:jc w:val="both"/>
        <w:rPr>
          <w:rFonts w:ascii="Times New Roman" w:hAnsi="Times New Roman" w:cs="Times New Roman"/>
          <w:sz w:val="24"/>
          <w:szCs w:val="24"/>
        </w:rPr>
      </w:pPr>
    </w:p>
    <w:p w:rsidR="00AD7BFB" w:rsidRPr="00282692" w:rsidRDefault="00D03478"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Ο ρόλος που διαδραματίζει η οικονομική ανάλυση </w:t>
      </w:r>
      <w:r w:rsidR="00AD7BFB" w:rsidRPr="00282692">
        <w:rPr>
          <w:rFonts w:ascii="Times New Roman" w:hAnsi="Times New Roman" w:cs="Times New Roman"/>
          <w:sz w:val="24"/>
          <w:szCs w:val="24"/>
        </w:rPr>
        <w:t>στην εφαρμογή του δικαίου του ελεύθερου ανταγωνισμού παρουσιάζει σημαντική αύξηση τα τελευταία χρόνια, όπως προκύπτει από τη νομολογία του Δι</w:t>
      </w:r>
      <w:r w:rsidR="001544DF" w:rsidRPr="00282692">
        <w:rPr>
          <w:rFonts w:ascii="Times New Roman" w:hAnsi="Times New Roman" w:cs="Times New Roman"/>
          <w:sz w:val="24"/>
          <w:szCs w:val="24"/>
        </w:rPr>
        <w:t>καστηρίου της Ευρωπαϊκής Ένωσης και</w:t>
      </w:r>
      <w:r w:rsidR="00AD7BFB" w:rsidRPr="00282692">
        <w:rPr>
          <w:rFonts w:ascii="Times New Roman" w:hAnsi="Times New Roman" w:cs="Times New Roman"/>
          <w:sz w:val="24"/>
          <w:szCs w:val="24"/>
        </w:rPr>
        <w:t xml:space="preserve"> την πρακτι</w:t>
      </w:r>
      <w:r w:rsidR="001544DF" w:rsidRPr="00282692">
        <w:rPr>
          <w:rFonts w:ascii="Times New Roman" w:hAnsi="Times New Roman" w:cs="Times New Roman"/>
          <w:sz w:val="24"/>
          <w:szCs w:val="24"/>
        </w:rPr>
        <w:t xml:space="preserve">κή της Ευρωπαϊκής Επιτροπήςαλλά </w:t>
      </w:r>
      <w:r w:rsidR="00AD7BFB" w:rsidRPr="00282692">
        <w:rPr>
          <w:rFonts w:ascii="Times New Roman" w:hAnsi="Times New Roman" w:cs="Times New Roman"/>
          <w:sz w:val="24"/>
          <w:szCs w:val="24"/>
        </w:rPr>
        <w:t>και τον ολοένα αυξανόμενο αριθμό επιστημονικών μελετών που εκπονούνται στη θεματική αυτή. Σκοπός της παρούσας εισήγησης είναι η παρουσίαση των σημαντικότερων αποφάσεων του Δικαστηρίου της Ευρωπαϊκής Ένωσης</w:t>
      </w:r>
      <w:r w:rsidR="005B7E89" w:rsidRPr="00282692">
        <w:rPr>
          <w:rFonts w:ascii="Times New Roman" w:hAnsi="Times New Roman" w:cs="Times New Roman"/>
          <w:sz w:val="24"/>
          <w:szCs w:val="24"/>
        </w:rPr>
        <w:t xml:space="preserve"> (ΔΕΕ)</w:t>
      </w:r>
      <w:r w:rsidR="00AD7BFB" w:rsidRPr="00282692">
        <w:rPr>
          <w:rFonts w:ascii="Times New Roman" w:hAnsi="Times New Roman" w:cs="Times New Roman"/>
          <w:sz w:val="24"/>
          <w:szCs w:val="24"/>
        </w:rPr>
        <w:t xml:space="preserve"> και της Ευρωπαϊκής Επιτροπής στις οποίες </w:t>
      </w:r>
      <w:r w:rsidR="00924449" w:rsidRPr="00282692">
        <w:rPr>
          <w:rFonts w:ascii="Times New Roman" w:hAnsi="Times New Roman" w:cs="Times New Roman"/>
          <w:sz w:val="24"/>
          <w:szCs w:val="24"/>
        </w:rPr>
        <w:t>εφαρμόστηκαν αρχές</w:t>
      </w:r>
      <w:r w:rsidR="00AD7BFB" w:rsidRPr="00282692">
        <w:rPr>
          <w:rFonts w:ascii="Times New Roman" w:hAnsi="Times New Roman" w:cs="Times New Roman"/>
          <w:sz w:val="24"/>
          <w:szCs w:val="24"/>
        </w:rPr>
        <w:t xml:space="preserve"> της οικονομικής θεωρίας προκειμένου να στηριχτεί το αποτέλεσμα των αποφάσεων αυτών.</w:t>
      </w:r>
      <w:r w:rsidR="00EE3654">
        <w:rPr>
          <w:rFonts w:ascii="Times New Roman" w:hAnsi="Times New Roman" w:cs="Times New Roman"/>
          <w:sz w:val="24"/>
          <w:szCs w:val="24"/>
        </w:rPr>
        <w:t>Σ</w:t>
      </w:r>
      <w:r w:rsidR="001544DF" w:rsidRPr="00282692">
        <w:rPr>
          <w:rFonts w:ascii="Times New Roman" w:hAnsi="Times New Roman" w:cs="Times New Roman"/>
          <w:sz w:val="24"/>
          <w:szCs w:val="24"/>
        </w:rPr>
        <w:t xml:space="preserve">την παρούσα εισήγηση </w:t>
      </w:r>
      <w:r w:rsidR="00EE3654">
        <w:rPr>
          <w:rFonts w:ascii="Times New Roman" w:hAnsi="Times New Roman" w:cs="Times New Roman"/>
          <w:sz w:val="24"/>
          <w:szCs w:val="24"/>
        </w:rPr>
        <w:t xml:space="preserve">θα εξεταστεί, δηλαδή, </w:t>
      </w:r>
      <w:r w:rsidR="001544DF" w:rsidRPr="00282692">
        <w:rPr>
          <w:rFonts w:ascii="Times New Roman" w:hAnsi="Times New Roman" w:cs="Times New Roman"/>
          <w:sz w:val="24"/>
          <w:szCs w:val="24"/>
        </w:rPr>
        <w:t xml:space="preserve">η χρήση της οικονομικής ανάλυσης σε αποφάσεις που εκδόθηκαν από τα ενωσιακά όργανα κατ’ εφαρμογή </w:t>
      </w:r>
      <w:r w:rsidR="00AD7BFB" w:rsidRPr="00282692">
        <w:rPr>
          <w:rFonts w:ascii="Times New Roman" w:hAnsi="Times New Roman" w:cs="Times New Roman"/>
          <w:sz w:val="24"/>
          <w:szCs w:val="24"/>
        </w:rPr>
        <w:t xml:space="preserve">του άρθρου 101 ΣΛΕΕ περί απαγόρευσης των συμπράξεων, </w:t>
      </w:r>
      <w:r w:rsidR="001544DF" w:rsidRPr="00282692">
        <w:rPr>
          <w:rFonts w:ascii="Times New Roman" w:hAnsi="Times New Roman" w:cs="Times New Roman"/>
          <w:sz w:val="24"/>
          <w:szCs w:val="24"/>
        </w:rPr>
        <w:t xml:space="preserve">του άρθρου </w:t>
      </w:r>
      <w:r w:rsidR="00AD7BFB" w:rsidRPr="00282692">
        <w:rPr>
          <w:rFonts w:ascii="Times New Roman" w:hAnsi="Times New Roman" w:cs="Times New Roman"/>
          <w:sz w:val="24"/>
          <w:szCs w:val="24"/>
        </w:rPr>
        <w:t>102 ΣΛΕΕ περί απαγόρευσης της κατάχρησης δεσπόζουσας θέσης και του Κανονισμού 139/2004 για τον έλεγχο συγκεντρώσεων επιχειρήσεων.</w:t>
      </w:r>
    </w:p>
    <w:p w:rsidR="00AD7BFB" w:rsidRPr="00282692" w:rsidRDefault="00AD7BFB" w:rsidP="00282692">
      <w:pPr>
        <w:spacing w:after="0" w:line="240" w:lineRule="auto"/>
        <w:jc w:val="both"/>
        <w:rPr>
          <w:rFonts w:ascii="Times New Roman" w:hAnsi="Times New Roman" w:cs="Times New Roman"/>
          <w:sz w:val="24"/>
          <w:szCs w:val="24"/>
        </w:rPr>
      </w:pPr>
    </w:p>
    <w:p w:rsidR="00B90451" w:rsidRPr="00405B4E" w:rsidRDefault="00B90451">
      <w:pPr>
        <w:rPr>
          <w:rFonts w:ascii="Times New Roman" w:hAnsi="Times New Roman" w:cs="Times New Roman"/>
          <w:b/>
          <w:sz w:val="28"/>
          <w:szCs w:val="24"/>
        </w:rPr>
      </w:pPr>
      <w:r w:rsidRPr="00405B4E">
        <w:rPr>
          <w:rFonts w:ascii="Times New Roman" w:hAnsi="Times New Roman" w:cs="Times New Roman"/>
          <w:b/>
          <w:sz w:val="28"/>
          <w:szCs w:val="24"/>
        </w:rPr>
        <w:br w:type="page"/>
      </w:r>
    </w:p>
    <w:p w:rsidR="005B7E89" w:rsidRPr="003A1CA4" w:rsidRDefault="005B7E89" w:rsidP="00282692">
      <w:pPr>
        <w:spacing w:after="0" w:line="240" w:lineRule="auto"/>
        <w:jc w:val="both"/>
        <w:rPr>
          <w:rFonts w:ascii="Times New Roman" w:hAnsi="Times New Roman" w:cs="Times New Roman"/>
          <w:b/>
          <w:sz w:val="28"/>
          <w:szCs w:val="24"/>
        </w:rPr>
      </w:pPr>
      <w:r w:rsidRPr="003A1CA4">
        <w:rPr>
          <w:rFonts w:ascii="Times New Roman" w:hAnsi="Times New Roman" w:cs="Times New Roman"/>
          <w:b/>
          <w:sz w:val="28"/>
          <w:szCs w:val="24"/>
          <w:lang w:val="en-US"/>
        </w:rPr>
        <w:lastRenderedPageBreak/>
        <w:t>II</w:t>
      </w:r>
      <w:r w:rsidRPr="003A1CA4">
        <w:rPr>
          <w:rFonts w:ascii="Times New Roman" w:hAnsi="Times New Roman" w:cs="Times New Roman"/>
          <w:b/>
          <w:sz w:val="28"/>
          <w:szCs w:val="24"/>
        </w:rPr>
        <w:t xml:space="preserve">. </w:t>
      </w:r>
      <w:r w:rsidR="00465605" w:rsidRPr="003A1CA4">
        <w:rPr>
          <w:rFonts w:ascii="Times New Roman" w:hAnsi="Times New Roman" w:cs="Times New Roman"/>
          <w:b/>
          <w:sz w:val="28"/>
          <w:szCs w:val="24"/>
        </w:rPr>
        <w:t>ΕΦΑΡΜΟΓΗ ΤΩΝ ΑΡΧΩΝ ΤΗΣ ΟΙΚΟΝΟΜΙΚΗΣ ΑΝΑΛΥΣΗΣ ΚΑΤΑ ΤΗΝ ΕΦΑΡΜΟΓΗ ΤΟΥ ΑΡΘΡΟΥ 101 ΣΛΕΕ</w:t>
      </w:r>
    </w:p>
    <w:p w:rsidR="005B7E89" w:rsidRPr="00282692" w:rsidRDefault="005B7E89" w:rsidP="00282692">
      <w:pPr>
        <w:spacing w:after="0" w:line="240" w:lineRule="auto"/>
        <w:jc w:val="both"/>
        <w:rPr>
          <w:rFonts w:ascii="Times New Roman" w:hAnsi="Times New Roman" w:cs="Times New Roman"/>
          <w:sz w:val="24"/>
          <w:szCs w:val="24"/>
        </w:rPr>
      </w:pPr>
    </w:p>
    <w:p w:rsidR="005B7E89" w:rsidRPr="00282692" w:rsidRDefault="00706CF1"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b/>
          <w:sz w:val="24"/>
          <w:szCs w:val="24"/>
        </w:rPr>
        <w:t>1.</w:t>
      </w:r>
      <w:r w:rsidR="005B7E89" w:rsidRPr="00282692">
        <w:rPr>
          <w:rFonts w:ascii="Times New Roman" w:hAnsi="Times New Roman" w:cs="Times New Roman"/>
          <w:b/>
          <w:sz w:val="24"/>
          <w:szCs w:val="24"/>
        </w:rPr>
        <w:t>Εφαρμογή των αρχών της οικονομικής ανάλυσης κατά την εφαρμογή του άρθρου 101 παρ. 1 ΣΛΕΕ</w:t>
      </w:r>
    </w:p>
    <w:p w:rsidR="005B7E89" w:rsidRPr="00282692" w:rsidRDefault="005B7E89" w:rsidP="00282692">
      <w:pPr>
        <w:spacing w:after="0" w:line="240" w:lineRule="auto"/>
        <w:ind w:firstLine="720"/>
        <w:jc w:val="both"/>
        <w:rPr>
          <w:rFonts w:ascii="Times New Roman" w:hAnsi="Times New Roman" w:cs="Times New Roman"/>
          <w:sz w:val="24"/>
          <w:szCs w:val="24"/>
        </w:rPr>
      </w:pPr>
    </w:p>
    <w:p w:rsidR="00F665D1" w:rsidRPr="00282692" w:rsidRDefault="00706CF1" w:rsidP="00282692">
      <w:pPr>
        <w:spacing w:after="0" w:line="240" w:lineRule="auto"/>
        <w:jc w:val="both"/>
        <w:rPr>
          <w:rFonts w:ascii="Times New Roman" w:hAnsi="Times New Roman" w:cs="Times New Roman"/>
          <w:b/>
          <w:sz w:val="24"/>
          <w:szCs w:val="24"/>
        </w:rPr>
      </w:pPr>
      <w:r w:rsidRPr="00282692">
        <w:rPr>
          <w:rFonts w:ascii="Times New Roman" w:hAnsi="Times New Roman" w:cs="Times New Roman"/>
          <w:b/>
          <w:sz w:val="24"/>
          <w:szCs w:val="24"/>
        </w:rPr>
        <w:t>α)</w:t>
      </w:r>
      <w:r w:rsidR="00F665D1" w:rsidRPr="00282692">
        <w:rPr>
          <w:rFonts w:ascii="Times New Roman" w:hAnsi="Times New Roman" w:cs="Times New Roman"/>
          <w:b/>
          <w:sz w:val="24"/>
          <w:szCs w:val="24"/>
        </w:rPr>
        <w:t xml:space="preserve"> Εισαγωγικά</w:t>
      </w:r>
    </w:p>
    <w:p w:rsidR="00F665D1" w:rsidRPr="00282692" w:rsidRDefault="00F665D1" w:rsidP="00282692">
      <w:pPr>
        <w:spacing w:after="0" w:line="240" w:lineRule="auto"/>
        <w:jc w:val="both"/>
        <w:rPr>
          <w:rFonts w:ascii="Times New Roman" w:hAnsi="Times New Roman" w:cs="Times New Roman"/>
          <w:sz w:val="24"/>
          <w:szCs w:val="24"/>
        </w:rPr>
      </w:pPr>
    </w:p>
    <w:p w:rsidR="005B7E89" w:rsidRPr="00282692" w:rsidRDefault="005B7E89"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Στη νομολογία του Δικαστηρίου της Ευρωπαϊκής Ένωσης σχετικά με την εφαρμογή του άρθρου 101 παρ. 1 ΣΛΕΕ, </w:t>
      </w:r>
      <w:r w:rsidR="00762C50" w:rsidRPr="00282692">
        <w:rPr>
          <w:rFonts w:ascii="Times New Roman" w:hAnsi="Times New Roman" w:cs="Times New Roman"/>
          <w:sz w:val="24"/>
          <w:szCs w:val="24"/>
        </w:rPr>
        <w:t>η σημασία της οικονομικής ανάλυ</w:t>
      </w:r>
      <w:r w:rsidR="00516C81" w:rsidRPr="00282692">
        <w:rPr>
          <w:rFonts w:ascii="Times New Roman" w:hAnsi="Times New Roman" w:cs="Times New Roman"/>
          <w:sz w:val="24"/>
          <w:szCs w:val="24"/>
        </w:rPr>
        <w:t xml:space="preserve">σης διαφαίνεται κυρίως στη θεμελίωση της διαπίστωσης ότι μια σύμπραξη παρακωλύει, περιορίζει ή νοθεύει τον ανταγωνισμό </w:t>
      </w:r>
      <w:r w:rsidR="00465605">
        <w:rPr>
          <w:rFonts w:ascii="Times New Roman" w:hAnsi="Times New Roman" w:cs="Times New Roman"/>
          <w:sz w:val="24"/>
          <w:szCs w:val="24"/>
        </w:rPr>
        <w:t xml:space="preserve">εκ του αντικειμένου της ή </w:t>
      </w:r>
      <w:r w:rsidR="00516C81" w:rsidRPr="00282692">
        <w:rPr>
          <w:rFonts w:ascii="Times New Roman" w:hAnsi="Times New Roman" w:cs="Times New Roman"/>
          <w:sz w:val="24"/>
          <w:szCs w:val="24"/>
        </w:rPr>
        <w:t>εκ του αποτελέσματος.</w:t>
      </w:r>
    </w:p>
    <w:p w:rsidR="00F665D1" w:rsidRPr="00282692" w:rsidRDefault="00516C81"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Ειδικότερα, σύμφωνα με το άρθρο 101 παρ. 1 ΣΛΕΕ, «είναι ασυμβίβαστες με την εσωτερική αγορά και απαγορεύονται όλες οι συμφωνίες μεταξύ επιχειρήσεων, όλες οι αποφάσεις ενώσεων επιχειρήσεων και κάθε εναρμονισμένη πρακτική, που δύνανται να επηρεάσουν το εμπόριο μεταξύ κρατών μελών και που έχουν ως αντικείμενο ή ως αποτέλεσμα την παρεμπόδιση, τον περιορισμό ή τη νόθευση του ανταγωνισμού εντός της κοινής αγοράς.</w:t>
      </w:r>
      <w:r w:rsidR="001544DF" w:rsidRPr="00282692">
        <w:rPr>
          <w:rFonts w:ascii="Times New Roman" w:hAnsi="Times New Roman" w:cs="Times New Roman"/>
          <w:sz w:val="24"/>
          <w:szCs w:val="24"/>
        </w:rPr>
        <w:t>»</w:t>
      </w:r>
    </w:p>
    <w:p w:rsidR="00F665D1" w:rsidRPr="00282692" w:rsidRDefault="00F665D1" w:rsidP="00282692">
      <w:pPr>
        <w:pStyle w:val="Default"/>
        <w:jc w:val="both"/>
        <w:rPr>
          <w:rFonts w:ascii="Times New Roman" w:hAnsi="Times New Roman" w:cs="Times New Roman"/>
        </w:rPr>
      </w:pPr>
      <w:r w:rsidRPr="00282692">
        <w:rPr>
          <w:rFonts w:ascii="Times New Roman" w:hAnsi="Times New Roman" w:cs="Times New Roman"/>
        </w:rPr>
        <w:tab/>
      </w:r>
      <w:r w:rsidRPr="00282692">
        <w:rPr>
          <w:rFonts w:ascii="Times New Roman" w:hAnsi="Times New Roman" w:cs="Times New Roman"/>
          <w:bCs/>
        </w:rPr>
        <w:t xml:space="preserve">Η σύμπραξη έχει </w:t>
      </w:r>
      <w:r w:rsidRPr="00282692">
        <w:rPr>
          <w:rFonts w:ascii="Times New Roman" w:hAnsi="Times New Roman" w:cs="Times New Roman"/>
          <w:b/>
          <w:bCs/>
        </w:rPr>
        <w:t>ως αντικείμενο</w:t>
      </w:r>
      <w:r w:rsidRPr="00282692">
        <w:rPr>
          <w:rFonts w:ascii="Times New Roman" w:hAnsi="Times New Roman" w:cs="Times New Roman"/>
        </w:rPr>
        <w:t xml:space="preserve">την παρακώλυση ή τον περιορισμό ή τη νόθευση του ανταγωνισμού, όταν τα μέρη </w:t>
      </w:r>
      <w:r w:rsidRPr="00BD31AB">
        <w:rPr>
          <w:rFonts w:ascii="Times New Roman" w:hAnsi="Times New Roman" w:cs="Times New Roman"/>
          <w:b/>
          <w:bCs/>
          <w:u w:val="single"/>
        </w:rPr>
        <w:t>επιδιώκουν</w:t>
      </w:r>
      <w:r w:rsidRPr="00282692">
        <w:rPr>
          <w:rFonts w:ascii="Times New Roman" w:hAnsi="Times New Roman" w:cs="Times New Roman"/>
        </w:rPr>
        <w:t xml:space="preserve">ένα από τα τρία αυτά αποτελέσματα (την παρακώλυση ή τον περιορισμό ή τη νόθευση του ανταγωνισμού), </w:t>
      </w:r>
      <w:r w:rsidRPr="00282692">
        <w:rPr>
          <w:rFonts w:ascii="Times New Roman" w:hAnsi="Times New Roman" w:cs="Times New Roman"/>
          <w:bCs/>
        </w:rPr>
        <w:t>χωρίς να απαιτείται η είσοδος του αποτελέσματος</w:t>
      </w:r>
      <w:r w:rsidRPr="00282692">
        <w:rPr>
          <w:rFonts w:ascii="Times New Roman" w:hAnsi="Times New Roman" w:cs="Times New Roman"/>
        </w:rPr>
        <w:t xml:space="preserve">. </w:t>
      </w:r>
    </w:p>
    <w:p w:rsidR="00F665D1" w:rsidRPr="00282692" w:rsidRDefault="00F665D1" w:rsidP="00282692">
      <w:pPr>
        <w:spacing w:after="0" w:line="240" w:lineRule="auto"/>
        <w:ind w:firstLine="720"/>
        <w:jc w:val="both"/>
        <w:rPr>
          <w:rFonts w:ascii="Times New Roman" w:hAnsi="Times New Roman" w:cs="Times New Roman"/>
          <w:bCs/>
          <w:sz w:val="24"/>
          <w:szCs w:val="24"/>
        </w:rPr>
      </w:pPr>
      <w:r w:rsidRPr="00282692">
        <w:rPr>
          <w:rFonts w:ascii="Times New Roman" w:hAnsi="Times New Roman" w:cs="Times New Roman"/>
          <w:bCs/>
          <w:sz w:val="24"/>
          <w:szCs w:val="24"/>
        </w:rPr>
        <w:t xml:space="preserve">Η σύμπραξη έχει </w:t>
      </w:r>
      <w:r w:rsidRPr="00282692">
        <w:rPr>
          <w:rFonts w:ascii="Times New Roman" w:hAnsi="Times New Roman" w:cs="Times New Roman"/>
          <w:b/>
          <w:bCs/>
          <w:sz w:val="24"/>
          <w:szCs w:val="24"/>
        </w:rPr>
        <w:t>ως αποτέλεσμα</w:t>
      </w:r>
      <w:r w:rsidRPr="00282692">
        <w:rPr>
          <w:rFonts w:ascii="Times New Roman" w:hAnsi="Times New Roman" w:cs="Times New Roman"/>
          <w:sz w:val="24"/>
          <w:szCs w:val="24"/>
        </w:rPr>
        <w:t xml:space="preserve">την παρακώλυση ή τον περιορισμό ή τη νόθευση του ανταγωνισμού, όταν η παρακώλυση ή ο περιορισμός ή η νόθευση του ανταγωνισμού </w:t>
      </w:r>
      <w:r w:rsidRPr="00BD31AB">
        <w:rPr>
          <w:rFonts w:ascii="Times New Roman" w:hAnsi="Times New Roman" w:cs="Times New Roman"/>
          <w:b/>
          <w:sz w:val="24"/>
          <w:szCs w:val="24"/>
          <w:u w:val="single"/>
        </w:rPr>
        <w:t>εμφανίζονται ως συνέπεια</w:t>
      </w:r>
      <w:r w:rsidRPr="00282692">
        <w:rPr>
          <w:rFonts w:ascii="Times New Roman" w:hAnsi="Times New Roman" w:cs="Times New Roman"/>
          <w:sz w:val="24"/>
          <w:szCs w:val="24"/>
        </w:rPr>
        <w:t xml:space="preserve"> της σύμπραξης, </w:t>
      </w:r>
      <w:r w:rsidRPr="00282692">
        <w:rPr>
          <w:rFonts w:ascii="Times New Roman" w:hAnsi="Times New Roman" w:cs="Times New Roman"/>
          <w:bCs/>
          <w:sz w:val="24"/>
          <w:szCs w:val="24"/>
        </w:rPr>
        <w:t>ανεξάρτητα από το αν η συνέπεια αυτή αποσκοπήθηκε ή όχι.</w:t>
      </w:r>
    </w:p>
    <w:p w:rsidR="00483561" w:rsidRPr="00282692" w:rsidRDefault="00483561" w:rsidP="00282692">
      <w:pPr>
        <w:spacing w:after="0" w:line="240" w:lineRule="auto"/>
        <w:ind w:firstLine="720"/>
        <w:jc w:val="both"/>
        <w:rPr>
          <w:rFonts w:ascii="Times New Roman" w:hAnsi="Times New Roman" w:cs="Times New Roman"/>
          <w:bCs/>
          <w:sz w:val="24"/>
          <w:szCs w:val="24"/>
        </w:rPr>
      </w:pPr>
      <w:r w:rsidRPr="00282692">
        <w:rPr>
          <w:rFonts w:ascii="Times New Roman" w:hAnsi="Times New Roman" w:cs="Times New Roman"/>
          <w:bCs/>
          <w:sz w:val="24"/>
          <w:szCs w:val="24"/>
        </w:rPr>
        <w:t xml:space="preserve">Το αν μια σύμπραξη έχει ως αντικείμενο ή ως αποτέλεσμα </w:t>
      </w:r>
      <w:r w:rsidRPr="00282692">
        <w:rPr>
          <w:rFonts w:ascii="Times New Roman" w:hAnsi="Times New Roman" w:cs="Times New Roman"/>
          <w:sz w:val="24"/>
          <w:szCs w:val="24"/>
        </w:rPr>
        <w:t>την παρακώλυση ή τον περιορισμό ή τη νόθευση του ανταγωνισμού κρίνεται από τη σκοπιά του αποτελεσματικού (πραγματικού ή ενδεχόμενου) ανταγωνισμού.</w:t>
      </w:r>
    </w:p>
    <w:p w:rsidR="00F665D1" w:rsidRPr="00282692" w:rsidRDefault="00F665D1"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bCs/>
          <w:sz w:val="24"/>
          <w:szCs w:val="24"/>
        </w:rPr>
        <w:t>Όπως έχει τονίσει το ΔΕΕ, όπου το αντικείμενο της σύμπραξηςξεκάθαρα και χωρίς άλλο νοθεύει τον ανταγωνισμό δεν απαιτείται περαιτέρω έρευνα και ανάλυση της αγοράς ως προς τα αποτελέσματα της σύμπραξης</w:t>
      </w:r>
      <w:r w:rsidRPr="00282692">
        <w:rPr>
          <w:rStyle w:val="FootnoteReference"/>
          <w:rFonts w:ascii="Times New Roman" w:hAnsi="Times New Roman" w:cs="Times New Roman"/>
          <w:bCs/>
          <w:sz w:val="24"/>
          <w:szCs w:val="24"/>
        </w:rPr>
        <w:footnoteReference w:id="2"/>
      </w:r>
      <w:r w:rsidRPr="00282692">
        <w:rPr>
          <w:rFonts w:ascii="Times New Roman" w:hAnsi="Times New Roman" w:cs="Times New Roman"/>
          <w:bCs/>
          <w:sz w:val="24"/>
          <w:szCs w:val="24"/>
        </w:rPr>
        <w:t>.</w:t>
      </w:r>
      <w:r w:rsidRPr="00282692">
        <w:rPr>
          <w:rFonts w:ascii="Times New Roman" w:hAnsi="Times New Roman" w:cs="Times New Roman"/>
          <w:sz w:val="24"/>
          <w:szCs w:val="24"/>
        </w:rPr>
        <w:t xml:space="preserve"> Όταν όμως η αντιανταγωνιστική φύση της σύμπραξης δεν είναι εμφανής, το ΔΕΕ χρησιμοποιεί την οικονομική ανάλυση με στάθμιση των κατά και των υπέρ του ανταγωνισμού αποτελεσμάτων της σύμπραξης</w:t>
      </w:r>
      <w:r w:rsidR="0093057A" w:rsidRPr="00282692">
        <w:rPr>
          <w:rStyle w:val="FootnoteReference"/>
          <w:rFonts w:ascii="Times New Roman" w:hAnsi="Times New Roman" w:cs="Times New Roman"/>
          <w:sz w:val="24"/>
          <w:szCs w:val="24"/>
        </w:rPr>
        <w:footnoteReference w:id="3"/>
      </w:r>
      <w:r w:rsidRPr="00282692">
        <w:rPr>
          <w:rFonts w:ascii="Times New Roman" w:hAnsi="Times New Roman" w:cs="Times New Roman"/>
          <w:sz w:val="24"/>
          <w:szCs w:val="24"/>
        </w:rPr>
        <w:t>.</w:t>
      </w:r>
    </w:p>
    <w:p w:rsidR="0093057A" w:rsidRPr="00282692" w:rsidRDefault="0093057A" w:rsidP="00282692">
      <w:pPr>
        <w:spacing w:after="0" w:line="240" w:lineRule="auto"/>
        <w:jc w:val="both"/>
        <w:rPr>
          <w:rFonts w:ascii="Times New Roman" w:hAnsi="Times New Roman" w:cs="Times New Roman"/>
          <w:sz w:val="24"/>
          <w:szCs w:val="24"/>
        </w:rPr>
      </w:pPr>
    </w:p>
    <w:p w:rsidR="00446FF9" w:rsidRPr="00282692" w:rsidRDefault="00706CF1" w:rsidP="00282692">
      <w:pPr>
        <w:spacing w:after="0" w:line="240" w:lineRule="auto"/>
        <w:jc w:val="both"/>
        <w:rPr>
          <w:rFonts w:ascii="Times New Roman" w:hAnsi="Times New Roman" w:cs="Times New Roman"/>
          <w:b/>
          <w:sz w:val="24"/>
          <w:szCs w:val="24"/>
        </w:rPr>
      </w:pPr>
      <w:r w:rsidRPr="00282692">
        <w:rPr>
          <w:rFonts w:ascii="Times New Roman" w:hAnsi="Times New Roman" w:cs="Times New Roman"/>
          <w:b/>
          <w:sz w:val="24"/>
          <w:szCs w:val="24"/>
        </w:rPr>
        <w:t>β)</w:t>
      </w:r>
      <w:r w:rsidR="00446FF9" w:rsidRPr="00282692">
        <w:rPr>
          <w:rFonts w:ascii="Times New Roman" w:hAnsi="Times New Roman" w:cs="Times New Roman"/>
          <w:b/>
          <w:sz w:val="24"/>
          <w:szCs w:val="24"/>
        </w:rPr>
        <w:t xml:space="preserve"> Η χρήση της οικονομικής ανάλυσης για τη θεμελίωση της διαπίστωσης ότι μια σύμπραξη νοθεύει ή παρακωλύει ή περιορίζει τον ανταγωνισμό εξ αντικειμένου</w:t>
      </w:r>
    </w:p>
    <w:p w:rsidR="00446FF9" w:rsidRPr="00282692" w:rsidRDefault="00446FF9" w:rsidP="00282692">
      <w:pPr>
        <w:spacing w:after="0" w:line="240" w:lineRule="auto"/>
        <w:jc w:val="both"/>
        <w:rPr>
          <w:rFonts w:ascii="Times New Roman" w:hAnsi="Times New Roman" w:cs="Times New Roman"/>
          <w:b/>
          <w:sz w:val="24"/>
          <w:szCs w:val="24"/>
        </w:rPr>
      </w:pPr>
    </w:p>
    <w:p w:rsidR="00537ABD" w:rsidRPr="00282692" w:rsidRDefault="00446FF9"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b/>
          <w:sz w:val="24"/>
          <w:szCs w:val="24"/>
        </w:rPr>
        <w:tab/>
      </w:r>
      <w:r w:rsidR="00537ABD" w:rsidRPr="00282692">
        <w:rPr>
          <w:rFonts w:ascii="Times New Roman" w:hAnsi="Times New Roman" w:cs="Times New Roman"/>
          <w:sz w:val="24"/>
          <w:szCs w:val="24"/>
        </w:rPr>
        <w:t xml:space="preserve">Υπό το φωςτης νομολογίας του Δικαστηρίου, </w:t>
      </w:r>
      <w:r w:rsidR="00FC539F" w:rsidRPr="00282692">
        <w:rPr>
          <w:rFonts w:ascii="Times New Roman" w:hAnsi="Times New Roman" w:cs="Times New Roman"/>
          <w:sz w:val="24"/>
          <w:szCs w:val="24"/>
        </w:rPr>
        <w:t xml:space="preserve">διαπιστώνεται ότι το τελευταίο αποδέχεται την άποψη </w:t>
      </w:r>
      <w:r w:rsidR="00537ABD" w:rsidRPr="00282692">
        <w:rPr>
          <w:rFonts w:ascii="Times New Roman" w:hAnsi="Times New Roman" w:cs="Times New Roman"/>
          <w:sz w:val="24"/>
          <w:szCs w:val="24"/>
        </w:rPr>
        <w:t xml:space="preserve">ότι </w:t>
      </w:r>
      <w:r w:rsidR="00537ABD" w:rsidRPr="00F158F7">
        <w:rPr>
          <w:rFonts w:ascii="Times New Roman" w:hAnsi="Times New Roman" w:cs="Times New Roman"/>
          <w:b/>
          <w:sz w:val="24"/>
          <w:szCs w:val="24"/>
          <w:u w:val="single"/>
        </w:rPr>
        <w:t xml:space="preserve">μια σύμπραξη μπορεί να </w:t>
      </w:r>
      <w:r w:rsidR="00A46CE0" w:rsidRPr="00F158F7">
        <w:rPr>
          <w:rFonts w:ascii="Times New Roman" w:hAnsi="Times New Roman" w:cs="Times New Roman"/>
          <w:b/>
          <w:sz w:val="24"/>
          <w:szCs w:val="24"/>
          <w:u w:val="single"/>
        </w:rPr>
        <w:t>παράγει</w:t>
      </w:r>
      <w:r w:rsidR="00405B4E" w:rsidRPr="00405B4E">
        <w:rPr>
          <w:rFonts w:ascii="Times New Roman" w:hAnsi="Times New Roman" w:cs="Times New Roman"/>
          <w:b/>
          <w:sz w:val="24"/>
          <w:szCs w:val="24"/>
          <w:u w:val="single"/>
        </w:rPr>
        <w:t xml:space="preserve"> </w:t>
      </w:r>
      <w:r w:rsidR="00924449" w:rsidRPr="00BD31AB">
        <w:rPr>
          <w:rFonts w:ascii="Times New Roman" w:hAnsi="Times New Roman" w:cs="Times New Roman"/>
          <w:b/>
          <w:sz w:val="24"/>
          <w:szCs w:val="24"/>
          <w:u w:val="single"/>
        </w:rPr>
        <w:t>θετικές</w:t>
      </w:r>
      <w:r w:rsidR="00405B4E" w:rsidRPr="00405B4E">
        <w:rPr>
          <w:rFonts w:ascii="Times New Roman" w:hAnsi="Times New Roman" w:cs="Times New Roman"/>
          <w:b/>
          <w:sz w:val="24"/>
          <w:szCs w:val="24"/>
          <w:u w:val="single"/>
        </w:rPr>
        <w:t xml:space="preserve"> </w:t>
      </w:r>
      <w:r w:rsidR="00A46CE0" w:rsidRPr="00BD31AB">
        <w:rPr>
          <w:rFonts w:ascii="Times New Roman" w:hAnsi="Times New Roman" w:cs="Times New Roman"/>
          <w:b/>
          <w:sz w:val="24"/>
          <w:szCs w:val="24"/>
          <w:u w:val="single"/>
        </w:rPr>
        <w:t>εξωτερικότητες</w:t>
      </w:r>
      <w:r w:rsidR="00405B4E">
        <w:rPr>
          <w:rFonts w:ascii="Times New Roman" w:hAnsi="Times New Roman" w:cs="Times New Roman"/>
          <w:b/>
          <w:sz w:val="24"/>
          <w:szCs w:val="24"/>
          <w:u w:val="single"/>
          <w:lang w:val="en-US"/>
        </w:rPr>
        <w:t xml:space="preserve"> </w:t>
      </w:r>
      <w:r w:rsidR="00FC539F" w:rsidRPr="00BD31AB">
        <w:rPr>
          <w:rFonts w:ascii="Times New Roman" w:hAnsi="Times New Roman" w:cs="Times New Roman"/>
          <w:b/>
          <w:sz w:val="24"/>
          <w:szCs w:val="24"/>
          <w:u w:val="single"/>
        </w:rPr>
        <w:t xml:space="preserve">οι οποίες αναιρούν τον χαρακτηρισμό της σύμπραξης ως </w:t>
      </w:r>
      <w:r w:rsidR="00AE3247" w:rsidRPr="00BD31AB">
        <w:rPr>
          <w:rFonts w:ascii="Times New Roman" w:hAnsi="Times New Roman" w:cs="Times New Roman"/>
          <w:b/>
          <w:sz w:val="24"/>
          <w:szCs w:val="24"/>
          <w:u w:val="single"/>
        </w:rPr>
        <w:t>περιορισμού</w:t>
      </w:r>
      <w:r w:rsidR="00FC539F" w:rsidRPr="00BD31AB">
        <w:rPr>
          <w:rFonts w:ascii="Times New Roman" w:hAnsi="Times New Roman" w:cs="Times New Roman"/>
          <w:b/>
          <w:sz w:val="24"/>
          <w:szCs w:val="24"/>
          <w:u w:val="single"/>
        </w:rPr>
        <w:t xml:space="preserve"> του ανταγωνισμού εξ αντικειμένου.</w:t>
      </w:r>
    </w:p>
    <w:p w:rsidR="00FF0DA2" w:rsidRPr="00282692" w:rsidRDefault="00FF0DA2"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lastRenderedPageBreak/>
        <w:t xml:space="preserve">Στην απόφαση </w:t>
      </w:r>
      <w:proofErr w:type="spellStart"/>
      <w:r w:rsidRPr="00282692">
        <w:rPr>
          <w:rFonts w:ascii="Times New Roman" w:hAnsi="Times New Roman" w:cs="Times New Roman"/>
          <w:i/>
          <w:sz w:val="24"/>
          <w:szCs w:val="24"/>
          <w:lang w:val="en-US"/>
        </w:rPr>
        <w:t>Remia</w:t>
      </w:r>
      <w:proofErr w:type="spellEnd"/>
      <w:r w:rsidRPr="00282692">
        <w:rPr>
          <w:rStyle w:val="FootnoteReference"/>
          <w:rFonts w:ascii="Times New Roman" w:hAnsi="Times New Roman" w:cs="Times New Roman"/>
          <w:sz w:val="24"/>
          <w:szCs w:val="24"/>
        </w:rPr>
        <w:footnoteReference w:id="4"/>
      </w:r>
      <w:r w:rsidRPr="00282692">
        <w:rPr>
          <w:rFonts w:ascii="Times New Roman" w:hAnsi="Times New Roman" w:cs="Times New Roman"/>
          <w:sz w:val="24"/>
          <w:szCs w:val="24"/>
        </w:rPr>
        <w:t>,</w:t>
      </w:r>
      <w:r w:rsidR="00924449" w:rsidRPr="00282692">
        <w:rPr>
          <w:rFonts w:ascii="Times New Roman" w:hAnsi="Times New Roman" w:cs="Times New Roman"/>
          <w:sz w:val="24"/>
          <w:szCs w:val="24"/>
        </w:rPr>
        <w:t xml:space="preserve"> το Δικαστήριο αναγνώρισε ότι από μια συμφωνία μεταξύ επιχειρήσεων</w:t>
      </w:r>
      <w:r w:rsidRPr="00282692">
        <w:rPr>
          <w:rFonts w:ascii="Times New Roman" w:hAnsi="Times New Roman" w:cs="Times New Roman"/>
          <w:sz w:val="24"/>
          <w:szCs w:val="24"/>
        </w:rPr>
        <w:t xml:space="preserve"> ενδέχεται να προκύπτουν εξωτερικότητες οι οποίες συνεπάγονται την προώθηση του αποτελεσματικού ανταγωνισμού. Πιο συγκεκριμένα, στην απόφαση αυτή, η οποία αφορούσε μεταβίβαση επιχείρησης, έγινε δεκτό ότι «εφόσον ο πωλητής και ο αγοραστής θα συνέχιζαν να βρίσκονται σε κατάσταση ανταγωνισμού και μετά τη μεταβίβαση, καταφαίνεται ότι η συμφωνία μεταβιβάσεως επιχειρήσεως δεν θα μπορούσε να πραγματοποιηθεί. Πράγματι, ο πωλητής ο οποίος γνωρίζει άριστα τις ιδιαιτερότητες της μεταβιβαζόμενης επιχείρησης, θα εξακολουθούσε να έχει τη δυνατότητα να προσελκύει εκ νέου, αμέσως μετά τη μεταβίβαση, την παλιά του πελατεία, καθιστώντας έτσι μη βιώσιμη την εν λόγω επιχείρηση. Υπό τις περιστάσεις αυτές, οι περιλαμβανόμενες σε συμβάσεις μεταβιβάσεως επιχειρήσεων ρήτρες απαγορεύσεως του ανταγωνισμού έχουν, καταρχήν, το προσόν να εξασφαλίζουν τη δυνατότητα και την αποτελεσματικότητα της μεταβίβασης αυτής. Γι’ αυτό μάλιστα το λόγο, συντελούν στην ενίσχυση του ανταγωνισμού μέσω της αυξήσεως του αριθμού των υφιστάμενων στην εν λόγω αγορά επιχειρήσεων.»</w:t>
      </w:r>
      <w:r w:rsidRPr="00282692">
        <w:rPr>
          <w:rStyle w:val="FootnoteReference"/>
          <w:rFonts w:ascii="Times New Roman" w:hAnsi="Times New Roman" w:cs="Times New Roman"/>
          <w:sz w:val="24"/>
          <w:szCs w:val="24"/>
        </w:rPr>
        <w:footnoteReference w:id="5"/>
      </w:r>
    </w:p>
    <w:p w:rsidR="00446FF9" w:rsidRPr="00282692" w:rsidRDefault="00446FF9"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Στην απόφαση </w:t>
      </w:r>
      <w:r w:rsidRPr="00282692">
        <w:rPr>
          <w:rFonts w:ascii="Times New Roman" w:hAnsi="Times New Roman" w:cs="Times New Roman"/>
          <w:i/>
          <w:sz w:val="24"/>
          <w:szCs w:val="24"/>
          <w:lang w:val="en-US"/>
        </w:rPr>
        <w:t>PierreFabre</w:t>
      </w:r>
      <w:r w:rsidR="00537ABD" w:rsidRPr="00282692">
        <w:rPr>
          <w:rStyle w:val="FootnoteReference"/>
          <w:rFonts w:ascii="Times New Roman" w:hAnsi="Times New Roman" w:cs="Times New Roman"/>
          <w:sz w:val="24"/>
          <w:szCs w:val="24"/>
        </w:rPr>
        <w:footnoteReference w:id="6"/>
      </w:r>
      <w:r w:rsidR="00537ABD" w:rsidRPr="00282692">
        <w:rPr>
          <w:rFonts w:ascii="Times New Roman" w:hAnsi="Times New Roman" w:cs="Times New Roman"/>
          <w:i/>
          <w:sz w:val="24"/>
          <w:szCs w:val="24"/>
        </w:rPr>
        <w:t>,</w:t>
      </w:r>
      <w:r w:rsidRPr="00282692">
        <w:rPr>
          <w:rFonts w:ascii="Times New Roman" w:hAnsi="Times New Roman" w:cs="Times New Roman"/>
          <w:sz w:val="24"/>
          <w:szCs w:val="24"/>
        </w:rPr>
        <w:t xml:space="preserve"> το Δικαστήριο έκρινε ότι οι συμφωνίες που συνιστούν ένα σύστημα επιλεκτικής διανομής πρέπει να θεωρούνται «περιορισμοί εξ αντικειμένου» μόνον εφόσον δεν υπάρχουν αντικειμενικοί λόγοι που να τις δικαιολογούν</w:t>
      </w:r>
      <w:r w:rsidRPr="00282692">
        <w:rPr>
          <w:rStyle w:val="FootnoteReference"/>
          <w:rFonts w:ascii="Times New Roman" w:hAnsi="Times New Roman" w:cs="Times New Roman"/>
          <w:sz w:val="24"/>
          <w:szCs w:val="24"/>
        </w:rPr>
        <w:footnoteReference w:id="7"/>
      </w:r>
      <w:r w:rsidRPr="00282692">
        <w:rPr>
          <w:rFonts w:ascii="Times New Roman" w:hAnsi="Times New Roman" w:cs="Times New Roman"/>
          <w:sz w:val="24"/>
          <w:szCs w:val="24"/>
        </w:rPr>
        <w:t>. Συγκεκριμένα, όπως κρίθηκε στην παραπάνω απόφαση, «υπάρχουν θεμιτές ανάγκες, όπως η διατήρηση ενός εξειδικευμένου εμπορίου που να είναι σε θέση να παρέχει ορισμένες υπηρεσίες για προϊόντα υψηλής ποιότητας και τεχνικής, οι οποίες δικαιολογούν τον περιορισμό του ανταγωνισμού μέσω των τιμών υπέρ του ανταγωνισμού βάσει άλλων στοιχείων, πλην των τιμών. Δεδομένου ότι τα συστήματα επιλεκτικής διανομής επιδιώκουν νόμιμο αποτέλεσμα, το οποίο συμβάλλει στην ανάπτυξη του ανταγωνισμού που δεν έχει ως αντικείμενο μόνο τις τιμές, τα συστήματα αυτά αποτελούν στοιχείο του ανταγωνισμού που συνάδει προς το άρθρο 101, παράγραφος 1, ΣΛΕΕ.»</w:t>
      </w:r>
      <w:r w:rsidRPr="00282692">
        <w:rPr>
          <w:rStyle w:val="FootnoteReference"/>
          <w:rFonts w:ascii="Times New Roman" w:hAnsi="Times New Roman" w:cs="Times New Roman"/>
          <w:sz w:val="24"/>
          <w:szCs w:val="24"/>
        </w:rPr>
        <w:footnoteReference w:id="8"/>
      </w:r>
    </w:p>
    <w:p w:rsidR="00446FF9" w:rsidRPr="00282692" w:rsidRDefault="00446FF9"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r>
      <w:r w:rsidR="004631C9" w:rsidRPr="00282692">
        <w:rPr>
          <w:rFonts w:ascii="Times New Roman" w:hAnsi="Times New Roman" w:cs="Times New Roman"/>
          <w:sz w:val="24"/>
          <w:szCs w:val="24"/>
        </w:rPr>
        <w:t xml:space="preserve">Στην απόφαση </w:t>
      </w:r>
      <w:proofErr w:type="spellStart"/>
      <w:r w:rsidR="004631C9" w:rsidRPr="00282692">
        <w:rPr>
          <w:rFonts w:ascii="Times New Roman" w:hAnsi="Times New Roman" w:cs="Times New Roman"/>
          <w:i/>
          <w:sz w:val="24"/>
          <w:szCs w:val="24"/>
          <w:lang w:val="en-US"/>
        </w:rPr>
        <w:t>CoditelII</w:t>
      </w:r>
      <w:proofErr w:type="spellEnd"/>
      <w:r w:rsidR="00537ABD" w:rsidRPr="00282692">
        <w:rPr>
          <w:rStyle w:val="FootnoteReference"/>
          <w:rFonts w:ascii="Times New Roman" w:hAnsi="Times New Roman" w:cs="Times New Roman"/>
          <w:sz w:val="24"/>
          <w:szCs w:val="24"/>
        </w:rPr>
        <w:footnoteReference w:id="9"/>
      </w:r>
      <w:r w:rsidR="00537ABD" w:rsidRPr="00282692">
        <w:rPr>
          <w:rFonts w:ascii="Times New Roman" w:hAnsi="Times New Roman" w:cs="Times New Roman"/>
          <w:sz w:val="24"/>
          <w:szCs w:val="24"/>
        </w:rPr>
        <w:t>,</w:t>
      </w:r>
      <w:r w:rsidR="004A147B" w:rsidRPr="00282692">
        <w:rPr>
          <w:rFonts w:ascii="Times New Roman" w:hAnsi="Times New Roman" w:cs="Times New Roman"/>
          <w:sz w:val="24"/>
          <w:szCs w:val="24"/>
        </w:rPr>
        <w:t>το Δικαστήριο έκρινε ότι η παραχώρηση απόλυτης εδαφικής προστασίας στον κάτοχο άδεια</w:t>
      </w:r>
      <w:r w:rsidR="00BD31AB">
        <w:rPr>
          <w:rFonts w:ascii="Times New Roman" w:hAnsi="Times New Roman" w:cs="Times New Roman"/>
          <w:sz w:val="24"/>
          <w:szCs w:val="24"/>
        </w:rPr>
        <w:t>ς</w:t>
      </w:r>
      <w:r w:rsidR="004A147B" w:rsidRPr="00282692">
        <w:rPr>
          <w:rFonts w:ascii="Times New Roman" w:hAnsi="Times New Roman" w:cs="Times New Roman"/>
          <w:sz w:val="24"/>
          <w:szCs w:val="24"/>
        </w:rPr>
        <w:t xml:space="preserve"> χρήσης δικαιώματος πνευματικής ιδιοκτησίας μπορεί να δικαιολογείται από την ιδιαιτερότητα του εν λόγω δικαιώματος. Συγκεκριμένα, στην απόφαση αυτή έγινε δεκτό ότι «τα προβλήματα που συνεπάγεται ο σεβασμός του δικαιώματος του παραγωγού κινηματογραφικής ταινίας σε σχέση προς τις απαιτήσεις της συνθήκης δεν είναι τα ίδια με εκείνα που αφορούν το δικαίωμα τού δημιουργού λογοτεχνικών και καλλιτεχνικών έργων, των οποίων η διάθεση στο κοινό ταυτίζεται με την κυκλοφορία τού υλικού υποθέματος τού έργου, όπως στην περίπτωση βιβλίων ή δίσκων, ενώ η ταινία ανήκει στην κατηγορία των λογοτεχνικών και καλλιτεχνικών έργων πού παρουσιάζονται στο κοινό με παραστάσεις πού δύνανται να επαναλαμβάνονται επ’ άπειρον και των οποίων η εμπορία εμπίπτει στην κυκλοφορία των υπηρεσιών, ανεξαρτήτως τού μέσου, κινηματογράφου ή τηλεοράσεως, με το οποίο μεταδίδονται στο κοινό.»</w:t>
      </w:r>
      <w:r w:rsidR="004A147B" w:rsidRPr="00282692">
        <w:rPr>
          <w:rStyle w:val="FootnoteReference"/>
          <w:rFonts w:ascii="Times New Roman" w:hAnsi="Times New Roman" w:cs="Times New Roman"/>
          <w:sz w:val="24"/>
          <w:szCs w:val="24"/>
        </w:rPr>
        <w:footnoteReference w:id="10"/>
      </w:r>
    </w:p>
    <w:p w:rsidR="00A21D06" w:rsidRPr="00282692" w:rsidRDefault="004A147B"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b/>
          <w:sz w:val="24"/>
          <w:szCs w:val="24"/>
        </w:rPr>
        <w:lastRenderedPageBreak/>
        <w:tab/>
      </w:r>
      <w:r w:rsidR="00704D2E" w:rsidRPr="00282692">
        <w:rPr>
          <w:rFonts w:ascii="Times New Roman" w:hAnsi="Times New Roman" w:cs="Times New Roman"/>
          <w:sz w:val="24"/>
          <w:szCs w:val="24"/>
        </w:rPr>
        <w:t xml:space="preserve">Στην απόφαση </w:t>
      </w:r>
      <w:r w:rsidR="00704D2E" w:rsidRPr="00282692">
        <w:rPr>
          <w:rFonts w:ascii="Times New Roman" w:hAnsi="Times New Roman" w:cs="Times New Roman"/>
          <w:i/>
          <w:sz w:val="24"/>
          <w:szCs w:val="24"/>
        </w:rPr>
        <w:t>Asnef-Equifax</w:t>
      </w:r>
      <w:r w:rsidR="00537ABD" w:rsidRPr="00282692">
        <w:rPr>
          <w:rStyle w:val="FootnoteReference"/>
          <w:rFonts w:ascii="Times New Roman" w:hAnsi="Times New Roman" w:cs="Times New Roman"/>
          <w:sz w:val="24"/>
          <w:szCs w:val="24"/>
        </w:rPr>
        <w:footnoteReference w:id="11"/>
      </w:r>
      <w:r w:rsidR="00704D2E" w:rsidRPr="00282692">
        <w:rPr>
          <w:rFonts w:ascii="Times New Roman" w:hAnsi="Times New Roman" w:cs="Times New Roman"/>
          <w:sz w:val="24"/>
          <w:szCs w:val="24"/>
        </w:rPr>
        <w:t xml:space="preserve">, το Δικαστήριο αποφάνθηκε ότι </w:t>
      </w:r>
      <w:r w:rsidR="00004B9B" w:rsidRPr="00282692">
        <w:rPr>
          <w:rFonts w:ascii="Times New Roman" w:hAnsi="Times New Roman" w:cs="Times New Roman"/>
          <w:sz w:val="24"/>
          <w:szCs w:val="24"/>
        </w:rPr>
        <w:t>οι ανταλλαγές πληροφοριών μεταξύ επιχειρήσεων ενδέχεται να προάγουν τις συνθήκες του ανταγωνισμού σε μια συγκεκριμένη αγορά και να εκφεύγουν του πεδίου εφαρμογής του άρθρου 101 παρ. 1 ΣΛΕΕ. Ειδικότερα, όπως έγινε δεκτό στην παραπάνω απόφαση, «αν τα πιστωτικά ιδρύματα, λόγω απουσίας πληροφοριών σχετικά με τον κίνδυνο μη εξοφλήσεως εκ μέρους των δανειοληπτών, δεν έχουν τη δυνατότητα να διακρίνουν μεταξύ αυτών εκείνους ως προς τους οποίους υπάρχει μεγαλύτερος κίνδυνος μη εξοφλήσεως της οφειλής, ο κίνδυνος που αναλαμβάνουν εκ του γεγονότος αυτού κατ’ ανάγκην θα αυξηθεί και τα εν λόγω ιδρύματα θα έχουν την τάση να τον εντάσσουν στον υπολογισμό του κόστους δανεισμού για όλους τους δανειολήπτες, συμπεριλαμβανομένων εκείνων ως προς τους οποίους υπάρχει μικρότερος κίνδυνος μη εξοφλήσεως της οφειλής, οι οποίοι, στην περίπτωση αυτή, αναγκάζονται να υποβληθούν σε μεγαλύτερες δαπάνες απ’ ό,τι αν τα εν λόγω ιδρύματα ήταν σε θέση να εκτιμήσουν με μεγαλύτερη ακρίβεια την πιθανότητα εξοφλήσεως. Αρχεία όπως το επίδικο στην κύρια δίκη μπορούν κατ’ αρχήν να μετριάσουν την τάση αυτή.»</w:t>
      </w:r>
      <w:r w:rsidR="00537ABD" w:rsidRPr="00282692">
        <w:rPr>
          <w:rStyle w:val="FootnoteReference"/>
          <w:rFonts w:ascii="Times New Roman" w:hAnsi="Times New Roman" w:cs="Times New Roman"/>
          <w:sz w:val="24"/>
          <w:szCs w:val="24"/>
        </w:rPr>
        <w:footnoteReference w:id="12"/>
      </w:r>
      <w:r w:rsidR="00004B9B" w:rsidRPr="00282692">
        <w:rPr>
          <w:rFonts w:ascii="Times New Roman" w:hAnsi="Times New Roman" w:cs="Times New Roman"/>
          <w:sz w:val="24"/>
          <w:szCs w:val="24"/>
        </w:rPr>
        <w:t xml:space="preserve"> «Επιπλέον, τέτοιου είδους αρχεία μπορούν, κατ’ αρχήν, να αυξήσουν την κινητικότητα των καταναλωτών πιστώσεων, μειώνοντας τη σημασία των πληροφοριών που διαθέτουν τα πιστωτικά ιδρύματα για τους πελάτες τους. Εξάλλου, τα αρχεία αυτά είναι ικανά να διευκολύνουν την είσοδο νέων ανταγωνιστών στην αγορά.»</w:t>
      </w:r>
      <w:r w:rsidR="00537ABD" w:rsidRPr="00282692">
        <w:rPr>
          <w:rStyle w:val="FootnoteReference"/>
          <w:rFonts w:ascii="Times New Roman" w:hAnsi="Times New Roman" w:cs="Times New Roman"/>
          <w:sz w:val="24"/>
          <w:szCs w:val="24"/>
        </w:rPr>
        <w:footnoteReference w:id="13"/>
      </w:r>
    </w:p>
    <w:p w:rsidR="00A21D06" w:rsidRPr="00282692" w:rsidRDefault="00A21D06"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Από την άλλη πλευρά</w:t>
      </w:r>
      <w:r w:rsidR="00716651" w:rsidRPr="00282692">
        <w:rPr>
          <w:rFonts w:ascii="Times New Roman" w:hAnsi="Times New Roman" w:cs="Times New Roman"/>
          <w:sz w:val="24"/>
          <w:szCs w:val="24"/>
        </w:rPr>
        <w:t xml:space="preserve">, όπως παρατηρήθηκε στην απόφαση </w:t>
      </w:r>
      <w:r w:rsidR="00716651" w:rsidRPr="00282692">
        <w:rPr>
          <w:rFonts w:ascii="Times New Roman" w:hAnsi="Times New Roman" w:cs="Times New Roman"/>
          <w:i/>
          <w:sz w:val="24"/>
          <w:szCs w:val="24"/>
          <w:lang w:val="en-US"/>
        </w:rPr>
        <w:t>JohnDeere</w:t>
      </w:r>
      <w:r w:rsidR="00716651" w:rsidRPr="00282692">
        <w:rPr>
          <w:rStyle w:val="FootnoteReference"/>
          <w:rFonts w:ascii="Times New Roman" w:hAnsi="Times New Roman" w:cs="Times New Roman"/>
          <w:sz w:val="24"/>
          <w:szCs w:val="24"/>
        </w:rPr>
        <w:footnoteReference w:id="14"/>
      </w:r>
      <w:r w:rsidR="00716651" w:rsidRPr="00282692">
        <w:rPr>
          <w:rFonts w:ascii="Times New Roman" w:hAnsi="Times New Roman" w:cs="Times New Roman"/>
          <w:sz w:val="24"/>
          <w:szCs w:val="24"/>
        </w:rPr>
        <w:t>, περιορίζει τον ανταγωνισμό εξ αντικειμένου ένα σύστημα ανταλλαγής πληροφοριών το οποίο μετριάζει ή εξαλείφει την αβεβαιότητα ως προς τη λειτουργία της αγοράς</w:t>
      </w:r>
      <w:r w:rsidR="00716651" w:rsidRPr="00282692">
        <w:rPr>
          <w:rStyle w:val="FootnoteReference"/>
          <w:rFonts w:ascii="Times New Roman" w:hAnsi="Times New Roman" w:cs="Times New Roman"/>
          <w:sz w:val="24"/>
          <w:szCs w:val="24"/>
        </w:rPr>
        <w:footnoteReference w:id="15"/>
      </w:r>
      <w:r w:rsidR="00716651" w:rsidRPr="00282692">
        <w:rPr>
          <w:rFonts w:ascii="Times New Roman" w:hAnsi="Times New Roman" w:cs="Times New Roman"/>
          <w:sz w:val="24"/>
          <w:szCs w:val="24"/>
        </w:rPr>
        <w:t xml:space="preserve">. </w:t>
      </w:r>
      <w:r w:rsidRPr="00282692">
        <w:rPr>
          <w:rFonts w:ascii="Times New Roman" w:hAnsi="Times New Roman" w:cs="Times New Roman"/>
          <w:sz w:val="24"/>
          <w:szCs w:val="24"/>
        </w:rPr>
        <w:t xml:space="preserve">Πιο συγκεκριμένα, στην απόφαση </w:t>
      </w:r>
      <w:r w:rsidRPr="00282692">
        <w:rPr>
          <w:rFonts w:ascii="Times New Roman" w:hAnsi="Times New Roman" w:cs="Times New Roman"/>
          <w:i/>
          <w:sz w:val="24"/>
          <w:szCs w:val="24"/>
          <w:lang w:val="en-US"/>
        </w:rPr>
        <w:t>JohnDeere</w:t>
      </w:r>
      <w:r w:rsidRPr="00282692">
        <w:rPr>
          <w:rFonts w:ascii="Times New Roman" w:hAnsi="Times New Roman" w:cs="Times New Roman"/>
          <w:sz w:val="24"/>
          <w:szCs w:val="24"/>
        </w:rPr>
        <w:t>, το Δικαστήριο παρατήρησε ότι «</w:t>
      </w:r>
      <w:r w:rsidR="007F028A" w:rsidRPr="00282692">
        <w:rPr>
          <w:rFonts w:ascii="Times New Roman" w:hAnsi="Times New Roman" w:cs="Times New Roman"/>
          <w:sz w:val="24"/>
          <w:szCs w:val="24"/>
        </w:rPr>
        <w:t>σ</w:t>
      </w:r>
      <w:r w:rsidRPr="00282692">
        <w:rPr>
          <w:rFonts w:ascii="Times New Roman" w:hAnsi="Times New Roman" w:cs="Times New Roman"/>
          <w:sz w:val="24"/>
          <w:szCs w:val="24"/>
        </w:rPr>
        <w:t>ε μια ολιγοπωλιακή αγορά υψηλής συγκεντρώσεως, η συμφωνία που προβλέπει σύστημα ανταλλαγής πληροφοριών μεταξύ των επιχειρήσεων της αγοράς αυτής μετριάζει ή αναιρεί την αβεβαιότητα ως προς τη λειτουργία της αγοράς και επομένως είναι ικανή να αλλοιώσει τον ανταγωνισμό μεταξύ των επιχειρηματιών εφόσον οι ανταλλασσόμενες πληροφορίες</w:t>
      </w:r>
    </w:p>
    <w:p w:rsidR="00A21D06" w:rsidRPr="00282692" w:rsidRDefault="007F028A"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αποτελ</w:t>
      </w:r>
      <w:r w:rsidR="00A21D06" w:rsidRPr="00282692">
        <w:rPr>
          <w:rFonts w:ascii="Times New Roman" w:hAnsi="Times New Roman" w:cs="Times New Roman"/>
          <w:sz w:val="24"/>
          <w:szCs w:val="24"/>
        </w:rPr>
        <w:t>ούν επαγγελματικό απόρρητο και δίνουν τη δυνατότητα στις επιχειρήσεις, μέρη της συμφωνίας, να γνωρίζουν τις πωλήσεις που πραγματοποιούν οι αντιπρόσωποί τους εντός και εκτός των ζωνών δραστηριότητας που τους έχουν ανατεθεί καθώς και τις πωλήσεις των άλλων ανταγωνιστριών επιχειρήσεων και των αντιπροσώπων τους</w:t>
      </w:r>
    </w:p>
    <w:p w:rsidR="00004B9B" w:rsidRPr="00282692" w:rsidRDefault="00A21D06"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ανταλλάσσονται συστηματικά και με συχνή περιοδικότητα, καιδιαβιβάζονται μεταξύ των κυριοτέρων πωλητών προς όφελος αυτών και μόνο, αποκλειομένων των άλλων πωλητών και των καταναλωτών.»</w:t>
      </w:r>
      <w:r w:rsidR="007F028A" w:rsidRPr="00282692">
        <w:rPr>
          <w:rStyle w:val="FootnoteReference"/>
          <w:rFonts w:ascii="Times New Roman" w:hAnsi="Times New Roman" w:cs="Times New Roman"/>
          <w:sz w:val="24"/>
          <w:szCs w:val="24"/>
        </w:rPr>
        <w:footnoteReference w:id="16"/>
      </w:r>
    </w:p>
    <w:p w:rsidR="00FC539F" w:rsidRPr="00282692" w:rsidRDefault="00910895"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Στην απόφαση </w:t>
      </w:r>
      <w:proofErr w:type="spellStart"/>
      <w:r w:rsidRPr="00282692">
        <w:rPr>
          <w:rFonts w:ascii="Times New Roman" w:hAnsi="Times New Roman" w:cs="Times New Roman"/>
          <w:i/>
          <w:sz w:val="24"/>
          <w:szCs w:val="24"/>
          <w:lang w:val="en-US"/>
        </w:rPr>
        <w:t>Nungesser</w:t>
      </w:r>
      <w:proofErr w:type="spellEnd"/>
      <w:r w:rsidRPr="00282692">
        <w:rPr>
          <w:rFonts w:ascii="Times New Roman" w:hAnsi="Times New Roman" w:cs="Times New Roman"/>
          <w:i/>
          <w:sz w:val="24"/>
          <w:szCs w:val="24"/>
        </w:rPr>
        <w:t xml:space="preserve"> κατά Επιτροπής</w:t>
      </w:r>
      <w:r w:rsidR="007F493C" w:rsidRPr="00282692">
        <w:rPr>
          <w:rStyle w:val="FootnoteReference"/>
          <w:rFonts w:ascii="Times New Roman" w:hAnsi="Times New Roman" w:cs="Times New Roman"/>
          <w:i/>
          <w:sz w:val="24"/>
          <w:szCs w:val="24"/>
        </w:rPr>
        <w:footnoteReference w:id="17"/>
      </w:r>
      <w:r w:rsidRPr="00282692">
        <w:rPr>
          <w:rFonts w:ascii="Times New Roman" w:hAnsi="Times New Roman" w:cs="Times New Roman"/>
          <w:sz w:val="24"/>
          <w:szCs w:val="24"/>
        </w:rPr>
        <w:t>, το Δικαστήριο αναγνώρισε ότι η αύξηση της οικονομικής αποτελεσματικότητας με τη μορφή της εισόδου στην αγορά ενός νέου τύπου προϊόντος (σπόρου), που αναπτύχθηκε κατόπιν σημαντικής επενδυτικής έρευνας, συνεπάγεται τη νομιμότητα της ανοικτής σύμβασης αποκλειστικότητας δυνάμει της οποίας γίνεται η παραγωγή του ως άνω προϊόντος</w:t>
      </w:r>
      <w:r w:rsidRPr="00282692">
        <w:rPr>
          <w:rStyle w:val="FootnoteReference"/>
          <w:rFonts w:ascii="Times New Roman" w:hAnsi="Times New Roman" w:cs="Times New Roman"/>
          <w:sz w:val="24"/>
          <w:szCs w:val="24"/>
        </w:rPr>
        <w:footnoteReference w:id="18"/>
      </w:r>
      <w:r w:rsidRPr="00282692">
        <w:rPr>
          <w:rFonts w:ascii="Times New Roman" w:hAnsi="Times New Roman" w:cs="Times New Roman"/>
          <w:sz w:val="24"/>
          <w:szCs w:val="24"/>
        </w:rPr>
        <w:t xml:space="preserve">. </w:t>
      </w:r>
      <w:r w:rsidRPr="00282692">
        <w:rPr>
          <w:rFonts w:ascii="Times New Roman" w:hAnsi="Times New Roman" w:cs="Times New Roman"/>
          <w:sz w:val="24"/>
          <w:szCs w:val="24"/>
        </w:rPr>
        <w:lastRenderedPageBreak/>
        <w:t>Αν, όμως, η σύμβαση αποκλειστικότητας είναι κλειστή, υπό την έννοια ότι παρέχει προστασία κατά των παράλληλων εισαγωγών, τότε η εν λόγω σύμβαση εμπίπτει στο άρθρο 101 παρ. 1 ΣΛΕΕ</w:t>
      </w:r>
      <w:r w:rsidR="007F493C" w:rsidRPr="00282692">
        <w:rPr>
          <w:rStyle w:val="FootnoteReference"/>
          <w:rFonts w:ascii="Times New Roman" w:hAnsi="Times New Roman" w:cs="Times New Roman"/>
          <w:sz w:val="24"/>
          <w:szCs w:val="24"/>
        </w:rPr>
        <w:footnoteReference w:id="19"/>
      </w:r>
      <w:r w:rsidRPr="00282692">
        <w:rPr>
          <w:rFonts w:ascii="Times New Roman" w:hAnsi="Times New Roman" w:cs="Times New Roman"/>
          <w:sz w:val="24"/>
          <w:szCs w:val="24"/>
        </w:rPr>
        <w:t>.</w:t>
      </w:r>
      <w:r w:rsidR="00F177D2" w:rsidRPr="00282692">
        <w:rPr>
          <w:rFonts w:ascii="Times New Roman" w:hAnsi="Times New Roman" w:cs="Times New Roman"/>
          <w:sz w:val="24"/>
          <w:szCs w:val="24"/>
        </w:rPr>
        <w:t xml:space="preserve"> Η ίδια προσέγγιση σε σχέση με τη νομιμότητα των ανοικ</w:t>
      </w:r>
      <w:r w:rsidR="007F028A" w:rsidRPr="00282692">
        <w:rPr>
          <w:rFonts w:ascii="Times New Roman" w:hAnsi="Times New Roman" w:cs="Times New Roman"/>
          <w:sz w:val="24"/>
          <w:szCs w:val="24"/>
        </w:rPr>
        <w:t>τών συμβάσεων αποκλειστικότητας που προάγουν την καινοτομία</w:t>
      </w:r>
      <w:r w:rsidR="00F177D2" w:rsidRPr="00282692">
        <w:rPr>
          <w:rFonts w:ascii="Times New Roman" w:hAnsi="Times New Roman" w:cs="Times New Roman"/>
          <w:sz w:val="24"/>
          <w:szCs w:val="24"/>
        </w:rPr>
        <w:t xml:space="preserve"> ακολουθήθηκε στην απόφαση </w:t>
      </w:r>
      <w:r w:rsidR="00F177D2" w:rsidRPr="00282692">
        <w:rPr>
          <w:rFonts w:ascii="Times New Roman" w:hAnsi="Times New Roman" w:cs="Times New Roman"/>
          <w:i/>
          <w:sz w:val="24"/>
          <w:szCs w:val="24"/>
        </w:rPr>
        <w:t>Erauw-Jacquery</w:t>
      </w:r>
      <w:r w:rsidR="00F177D2" w:rsidRPr="00282692">
        <w:rPr>
          <w:rStyle w:val="FootnoteReference"/>
          <w:rFonts w:ascii="Times New Roman" w:hAnsi="Times New Roman" w:cs="Times New Roman"/>
          <w:sz w:val="24"/>
          <w:szCs w:val="24"/>
        </w:rPr>
        <w:footnoteReference w:id="20"/>
      </w:r>
      <w:r w:rsidR="00F177D2" w:rsidRPr="00282692">
        <w:rPr>
          <w:rFonts w:ascii="Times New Roman" w:hAnsi="Times New Roman" w:cs="Times New Roman"/>
          <w:sz w:val="24"/>
          <w:szCs w:val="24"/>
        </w:rPr>
        <w:t>.</w:t>
      </w:r>
    </w:p>
    <w:p w:rsidR="00F158F7" w:rsidRDefault="00F177D2"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Στην απόφαση </w:t>
      </w:r>
      <w:proofErr w:type="spellStart"/>
      <w:r w:rsidRPr="00282692">
        <w:rPr>
          <w:rFonts w:ascii="Times New Roman" w:hAnsi="Times New Roman" w:cs="Times New Roman"/>
          <w:i/>
          <w:sz w:val="24"/>
          <w:szCs w:val="24"/>
          <w:lang w:val="en-US"/>
        </w:rPr>
        <w:t>MetroI</w:t>
      </w:r>
      <w:proofErr w:type="spellEnd"/>
      <w:r w:rsidR="00F97D94" w:rsidRPr="00282692">
        <w:rPr>
          <w:rStyle w:val="FootnoteReference"/>
          <w:rFonts w:ascii="Times New Roman" w:hAnsi="Times New Roman" w:cs="Times New Roman"/>
          <w:sz w:val="24"/>
          <w:szCs w:val="24"/>
          <w:lang w:val="en-US"/>
        </w:rPr>
        <w:footnoteReference w:id="21"/>
      </w:r>
      <w:r w:rsidR="00F97D94" w:rsidRPr="00282692">
        <w:rPr>
          <w:rFonts w:ascii="Times New Roman" w:hAnsi="Times New Roman" w:cs="Times New Roman"/>
          <w:sz w:val="24"/>
          <w:szCs w:val="24"/>
        </w:rPr>
        <w:t>,</w:t>
      </w:r>
      <w:r w:rsidR="00DD7F1F" w:rsidRPr="00282692">
        <w:rPr>
          <w:rFonts w:ascii="Times New Roman" w:hAnsi="Times New Roman" w:cs="Times New Roman"/>
          <w:sz w:val="24"/>
          <w:szCs w:val="24"/>
        </w:rPr>
        <w:t xml:space="preserve"> το Δικαστήριο έκρινε ότι η διαπίστωση κάποιας ακαμψίας στη διάρθρωση των τιμών μεταξύ των εμπόρων ορισμένου σηματοδοτημένου προϊόντος (</w:t>
      </w:r>
      <w:proofErr w:type="spellStart"/>
      <w:r w:rsidR="00DD7F1F" w:rsidRPr="00282692">
        <w:rPr>
          <w:rFonts w:ascii="Times New Roman" w:hAnsi="Times New Roman" w:cs="Times New Roman"/>
          <w:sz w:val="24"/>
          <w:szCs w:val="24"/>
          <w:lang w:val="en-US"/>
        </w:rPr>
        <w:t>intrabrandcompetition</w:t>
      </w:r>
      <w:proofErr w:type="spellEnd"/>
      <w:r w:rsidR="00DD7F1F" w:rsidRPr="00282692">
        <w:rPr>
          <w:rFonts w:ascii="Times New Roman" w:hAnsi="Times New Roman" w:cs="Times New Roman"/>
          <w:sz w:val="24"/>
          <w:szCs w:val="24"/>
        </w:rPr>
        <w:t>) μπορεί να μην περιορίζει τον ανταγωνισμό εξ αντικειμένου, εφόσον διαπιστώνεται η ύπαρξη αποτελεσματικού ανταγωνισμού μεταξύ εμπόρων προϊόντων που ανήκουν στην ίδια κατηγορία και φέρουν διαφορετικά σήματα (</w:t>
      </w:r>
      <w:proofErr w:type="spellStart"/>
      <w:r w:rsidR="00DD7F1F" w:rsidRPr="00282692">
        <w:rPr>
          <w:rFonts w:ascii="Times New Roman" w:hAnsi="Times New Roman" w:cs="Times New Roman"/>
          <w:sz w:val="24"/>
          <w:szCs w:val="24"/>
          <w:lang w:val="en-US"/>
        </w:rPr>
        <w:t>interbrandcompetition</w:t>
      </w:r>
      <w:proofErr w:type="spellEnd"/>
      <w:r w:rsidR="00DD7F1F" w:rsidRPr="00282692">
        <w:rPr>
          <w:rFonts w:ascii="Times New Roman" w:hAnsi="Times New Roman" w:cs="Times New Roman"/>
          <w:sz w:val="24"/>
          <w:szCs w:val="24"/>
        </w:rPr>
        <w:t>)</w:t>
      </w:r>
      <w:r w:rsidR="00F97D94" w:rsidRPr="00282692">
        <w:rPr>
          <w:rStyle w:val="FootnoteReference"/>
          <w:rFonts w:ascii="Times New Roman" w:hAnsi="Times New Roman" w:cs="Times New Roman"/>
          <w:sz w:val="24"/>
          <w:szCs w:val="24"/>
        </w:rPr>
        <w:footnoteReference w:id="22"/>
      </w:r>
      <w:r w:rsidR="00DD7F1F" w:rsidRPr="00282692">
        <w:rPr>
          <w:rFonts w:ascii="Times New Roman" w:hAnsi="Times New Roman" w:cs="Times New Roman"/>
          <w:sz w:val="24"/>
          <w:szCs w:val="24"/>
        </w:rPr>
        <w:t>.</w:t>
      </w:r>
    </w:p>
    <w:p w:rsidR="00F177D2" w:rsidRPr="00282692" w:rsidRDefault="00F158F7" w:rsidP="002826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Τέλος, στην</w:t>
      </w:r>
      <w:r w:rsidRPr="00282692">
        <w:rPr>
          <w:rFonts w:ascii="Times New Roman" w:hAnsi="Times New Roman" w:cs="Times New Roman"/>
          <w:sz w:val="24"/>
          <w:szCs w:val="24"/>
        </w:rPr>
        <w:t xml:space="preserve"> απόφαση </w:t>
      </w:r>
      <w:proofErr w:type="spellStart"/>
      <w:r w:rsidRPr="00282692">
        <w:rPr>
          <w:rFonts w:ascii="Times New Roman" w:hAnsi="Times New Roman" w:cs="Times New Roman"/>
          <w:i/>
          <w:sz w:val="24"/>
          <w:szCs w:val="24"/>
          <w:lang w:val="en-US"/>
        </w:rPr>
        <w:t>Delimitis</w:t>
      </w:r>
      <w:proofErr w:type="spellEnd"/>
      <w:r w:rsidRPr="00282692">
        <w:rPr>
          <w:rStyle w:val="FootnoteReference"/>
          <w:rFonts w:ascii="Times New Roman" w:hAnsi="Times New Roman" w:cs="Times New Roman"/>
          <w:sz w:val="24"/>
          <w:szCs w:val="24"/>
        </w:rPr>
        <w:footnoteReference w:id="23"/>
      </w:r>
      <w:r w:rsidRPr="00282692">
        <w:rPr>
          <w:rFonts w:ascii="Times New Roman" w:hAnsi="Times New Roman" w:cs="Times New Roman"/>
          <w:i/>
          <w:sz w:val="24"/>
          <w:szCs w:val="24"/>
        </w:rPr>
        <w:t>,</w:t>
      </w:r>
      <w:r w:rsidRPr="00282692">
        <w:rPr>
          <w:rFonts w:ascii="Times New Roman" w:hAnsi="Times New Roman" w:cs="Times New Roman"/>
          <w:sz w:val="24"/>
          <w:szCs w:val="24"/>
        </w:rPr>
        <w:t xml:space="preserve"> το Δικαστήριο έκανε δεκτό ότι μια σύμβαση αποκλειστικής προμήθειας δεν μπορεί να κριθεί ως περιορισμός του ανταγωνισμού εξ αντικειμένου. Και αυτό γιατί η εν λόγω σύμβαση παρέχει στον παραγωγό τη δυνατότητα «να προγραμματίζει τις πωλήσεις του κατά τη διάρκεια της ισχύος της συμβάσεως και να οργανώνει αποτελεσματικά την παραγωγή και διανομή των προϊόντων του.»</w:t>
      </w:r>
      <w:r w:rsidRPr="00282692">
        <w:rPr>
          <w:rStyle w:val="FootnoteReference"/>
          <w:rFonts w:ascii="Times New Roman" w:hAnsi="Times New Roman" w:cs="Times New Roman"/>
          <w:sz w:val="24"/>
          <w:szCs w:val="24"/>
        </w:rPr>
        <w:footnoteReference w:id="24"/>
      </w:r>
      <w:r w:rsidRPr="00282692">
        <w:rPr>
          <w:rFonts w:ascii="Times New Roman" w:hAnsi="Times New Roman" w:cs="Times New Roman"/>
          <w:sz w:val="24"/>
          <w:szCs w:val="24"/>
        </w:rPr>
        <w:t xml:space="preserve"> Επίσης, η ως άνω σύμβαση παρέχει οφέλη και στο μεταπωλητή, διότι του επιτρέπει να εισέλθει στην αγορά του επίμαχου προϊόντος υπό ευνοϊκούς όρους και με εγγυημένο τον εφοδιασμό του</w:t>
      </w:r>
      <w:r w:rsidRPr="00282692">
        <w:rPr>
          <w:rStyle w:val="FootnoteReference"/>
          <w:rFonts w:ascii="Times New Roman" w:hAnsi="Times New Roman" w:cs="Times New Roman"/>
          <w:sz w:val="24"/>
          <w:szCs w:val="24"/>
        </w:rPr>
        <w:footnoteReference w:id="25"/>
      </w:r>
      <w:r w:rsidRPr="00282692">
        <w:rPr>
          <w:rFonts w:ascii="Times New Roman" w:hAnsi="Times New Roman" w:cs="Times New Roman"/>
          <w:sz w:val="24"/>
          <w:szCs w:val="24"/>
        </w:rPr>
        <w:t>.</w:t>
      </w:r>
    </w:p>
    <w:p w:rsidR="00446FF9" w:rsidRPr="00282692" w:rsidRDefault="00446FF9" w:rsidP="00282692">
      <w:pPr>
        <w:spacing w:after="0" w:line="240" w:lineRule="auto"/>
        <w:jc w:val="both"/>
        <w:rPr>
          <w:rFonts w:ascii="Times New Roman" w:hAnsi="Times New Roman" w:cs="Times New Roman"/>
          <w:b/>
          <w:sz w:val="24"/>
          <w:szCs w:val="24"/>
        </w:rPr>
      </w:pPr>
    </w:p>
    <w:p w:rsidR="0093057A" w:rsidRPr="00282692" w:rsidRDefault="008C680F" w:rsidP="00282692">
      <w:pPr>
        <w:spacing w:after="0" w:line="240" w:lineRule="auto"/>
        <w:jc w:val="both"/>
        <w:rPr>
          <w:rFonts w:ascii="Times New Roman" w:hAnsi="Times New Roman" w:cs="Times New Roman"/>
          <w:b/>
          <w:sz w:val="24"/>
          <w:szCs w:val="24"/>
        </w:rPr>
      </w:pPr>
      <w:r w:rsidRPr="00282692">
        <w:rPr>
          <w:rFonts w:ascii="Times New Roman" w:hAnsi="Times New Roman" w:cs="Times New Roman"/>
          <w:b/>
          <w:sz w:val="24"/>
          <w:szCs w:val="24"/>
        </w:rPr>
        <w:t>γ)</w:t>
      </w:r>
      <w:r w:rsidR="0093057A" w:rsidRPr="00282692">
        <w:rPr>
          <w:rFonts w:ascii="Times New Roman" w:hAnsi="Times New Roman" w:cs="Times New Roman"/>
          <w:b/>
          <w:sz w:val="24"/>
          <w:szCs w:val="24"/>
        </w:rPr>
        <w:t xml:space="preserve"> Η χρήση της οικονομικής ανάλυσης για τη θεμελίωση της διαπίστωσης ότι μια σύμπραξη νοθεύει ή παρακωλύει ή περιορίζει τον ανταγωνισμό εξ αποτελέσματος</w:t>
      </w:r>
    </w:p>
    <w:p w:rsidR="0093057A" w:rsidRPr="00282692" w:rsidRDefault="0093057A" w:rsidP="00282692">
      <w:pPr>
        <w:spacing w:after="0" w:line="240" w:lineRule="auto"/>
        <w:jc w:val="both"/>
        <w:rPr>
          <w:rFonts w:ascii="Times New Roman" w:hAnsi="Times New Roman" w:cs="Times New Roman"/>
          <w:b/>
          <w:sz w:val="24"/>
          <w:szCs w:val="24"/>
        </w:rPr>
      </w:pPr>
    </w:p>
    <w:p w:rsidR="00AE3247" w:rsidRPr="00282692" w:rsidRDefault="00AE3247"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b/>
          <w:sz w:val="24"/>
          <w:szCs w:val="24"/>
        </w:rPr>
        <w:tab/>
      </w:r>
      <w:r w:rsidR="00F158F7">
        <w:rPr>
          <w:rFonts w:ascii="Times New Roman" w:hAnsi="Times New Roman" w:cs="Times New Roman"/>
          <w:sz w:val="24"/>
          <w:szCs w:val="24"/>
        </w:rPr>
        <w:t>Το</w:t>
      </w:r>
      <w:r w:rsidRPr="00282692">
        <w:rPr>
          <w:rFonts w:ascii="Times New Roman" w:hAnsi="Times New Roman" w:cs="Times New Roman"/>
          <w:sz w:val="24"/>
          <w:szCs w:val="24"/>
        </w:rPr>
        <w:t xml:space="preserve"> Δικαστηρίου</w:t>
      </w:r>
      <w:r w:rsidR="00F158F7">
        <w:rPr>
          <w:rFonts w:ascii="Times New Roman" w:hAnsi="Times New Roman" w:cs="Times New Roman"/>
          <w:sz w:val="24"/>
          <w:szCs w:val="24"/>
        </w:rPr>
        <w:t xml:space="preserve"> αναγνωρίζει επίσης το ενδεχόμενο</w:t>
      </w:r>
      <w:r w:rsidRPr="00282692">
        <w:rPr>
          <w:rFonts w:ascii="Times New Roman" w:hAnsi="Times New Roman" w:cs="Times New Roman"/>
          <w:sz w:val="24"/>
          <w:szCs w:val="24"/>
        </w:rPr>
        <w:t xml:space="preserve"> ότι </w:t>
      </w:r>
      <w:r w:rsidRPr="00F158F7">
        <w:rPr>
          <w:rFonts w:ascii="Times New Roman" w:hAnsi="Times New Roman" w:cs="Times New Roman"/>
          <w:b/>
          <w:sz w:val="24"/>
          <w:szCs w:val="24"/>
          <w:u w:val="single"/>
        </w:rPr>
        <w:t xml:space="preserve">μια σύμπραξη μπορεί να παράγει </w:t>
      </w:r>
      <w:r w:rsidR="00A64289" w:rsidRPr="00F158F7">
        <w:rPr>
          <w:rFonts w:ascii="Times New Roman" w:hAnsi="Times New Roman" w:cs="Times New Roman"/>
          <w:b/>
          <w:sz w:val="24"/>
          <w:szCs w:val="24"/>
          <w:u w:val="single"/>
        </w:rPr>
        <w:t xml:space="preserve">θετικές </w:t>
      </w:r>
      <w:r w:rsidRPr="00F158F7">
        <w:rPr>
          <w:rFonts w:ascii="Times New Roman" w:hAnsi="Times New Roman" w:cs="Times New Roman"/>
          <w:b/>
          <w:sz w:val="24"/>
          <w:szCs w:val="24"/>
          <w:u w:val="single"/>
        </w:rPr>
        <w:t>εξωτερικότητες οι οποίες αναιρούν τον χαρακτηρισμό της σύμπραξης ως περιορισμού του ανταγωνισμού εξ αποτελέσματος.</w:t>
      </w:r>
    </w:p>
    <w:p w:rsidR="009F60F8" w:rsidRPr="00282692" w:rsidRDefault="0093057A"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b/>
          <w:sz w:val="24"/>
          <w:szCs w:val="24"/>
        </w:rPr>
        <w:tab/>
      </w:r>
      <w:r w:rsidR="009F60F8" w:rsidRPr="00282692">
        <w:rPr>
          <w:rFonts w:ascii="Times New Roman" w:hAnsi="Times New Roman" w:cs="Times New Roman"/>
          <w:sz w:val="24"/>
          <w:szCs w:val="24"/>
        </w:rPr>
        <w:t xml:space="preserve">Στην απόφαση </w:t>
      </w:r>
      <w:r w:rsidR="009F60F8" w:rsidRPr="00282692">
        <w:rPr>
          <w:rFonts w:ascii="Times New Roman" w:hAnsi="Times New Roman" w:cs="Times New Roman"/>
          <w:i/>
          <w:sz w:val="24"/>
          <w:szCs w:val="24"/>
        </w:rPr>
        <w:t>Gøttrup-</w:t>
      </w:r>
      <w:proofErr w:type="spellStart"/>
      <w:r w:rsidR="009F60F8" w:rsidRPr="00282692">
        <w:rPr>
          <w:rFonts w:ascii="Times New Roman" w:hAnsi="Times New Roman" w:cs="Times New Roman"/>
          <w:i/>
          <w:sz w:val="24"/>
          <w:szCs w:val="24"/>
          <w:lang w:val="en-US"/>
        </w:rPr>
        <w:t>Klim</w:t>
      </w:r>
      <w:proofErr w:type="spellEnd"/>
      <w:r w:rsidR="009F60F8" w:rsidRPr="00282692">
        <w:rPr>
          <w:rStyle w:val="FootnoteReference"/>
          <w:rFonts w:ascii="Times New Roman" w:hAnsi="Times New Roman" w:cs="Times New Roman"/>
          <w:sz w:val="24"/>
          <w:szCs w:val="24"/>
        </w:rPr>
        <w:footnoteReference w:id="26"/>
      </w:r>
      <w:r w:rsidR="009F60F8" w:rsidRPr="00282692">
        <w:rPr>
          <w:rFonts w:ascii="Times New Roman" w:hAnsi="Times New Roman" w:cs="Times New Roman"/>
          <w:sz w:val="24"/>
          <w:szCs w:val="24"/>
        </w:rPr>
        <w:t>,</w:t>
      </w:r>
      <w:r w:rsidR="00E62F06" w:rsidRPr="00282692">
        <w:rPr>
          <w:rFonts w:ascii="Times New Roman" w:hAnsi="Times New Roman" w:cs="Times New Roman"/>
          <w:sz w:val="24"/>
          <w:szCs w:val="24"/>
        </w:rPr>
        <w:t xml:space="preserve"> το</w:t>
      </w:r>
      <w:r w:rsidR="00FF0DA2" w:rsidRPr="00282692">
        <w:rPr>
          <w:rFonts w:ascii="Times New Roman" w:hAnsi="Times New Roman" w:cs="Times New Roman"/>
          <w:sz w:val="24"/>
          <w:szCs w:val="24"/>
        </w:rPr>
        <w:t xml:space="preserve"> Δικαστήριο έκανε δεκτό </w:t>
      </w:r>
      <w:r w:rsidR="00F97D94" w:rsidRPr="00282692">
        <w:rPr>
          <w:rFonts w:ascii="Times New Roman" w:hAnsi="Times New Roman" w:cs="Times New Roman"/>
          <w:sz w:val="24"/>
          <w:szCs w:val="24"/>
        </w:rPr>
        <w:t>ότι το συμβατό του καταστατικού μιας συνεταιριστικής ένωσης αγορών με τους ενωσιακούς κανόνες ανταγωνισμού δεν πρέπει να εκτιμάται αόριστα, αλλά εξαρτάται από τις συγκεκριμένες ρήτρες του καταστατικού της ενώσεως και από τις οικονομικές συνθήκες που επικρατούν στις σχετικές αγορές</w:t>
      </w:r>
      <w:r w:rsidR="00F97D94" w:rsidRPr="00282692">
        <w:rPr>
          <w:rStyle w:val="FootnoteReference"/>
          <w:rFonts w:ascii="Times New Roman" w:hAnsi="Times New Roman" w:cs="Times New Roman"/>
          <w:sz w:val="24"/>
          <w:szCs w:val="24"/>
        </w:rPr>
        <w:footnoteReference w:id="27"/>
      </w:r>
      <w:r w:rsidR="00F97D94" w:rsidRPr="00282692">
        <w:rPr>
          <w:rFonts w:ascii="Times New Roman" w:hAnsi="Times New Roman" w:cs="Times New Roman"/>
          <w:sz w:val="24"/>
          <w:szCs w:val="24"/>
        </w:rPr>
        <w:t>. Κατά την άποψη του Δικαστηρίου, το καταστατικό μιας συνεταιριστικής ένωσης αγορών ενδέχεται να είναι, κατ’ αποτέλεσμα, συμβατό με τους ενωσιακούς κανόνες του ανταγωνισμού στις αγορές στις οποίες η τιμή των προϊόντων ποικίλλει ανάλογα με τον όγκο των παραγγελιών, λαμβάνοντας υπόψη τη διαπίστωση ότι «οι συναλλαγές που πραγματοποιούν οι συνεταιριστικές ενώσεις αγορών μπορούν ν' αποτελούν, ανάλογα με τον αριθμό των μελών τους, σημαντικό αντίβαρο στην ισχύ των μεγάλων παραγωγών κατά τη σύναψη των συμβάσεων και διευκολύνουν τον αποτελεσματικότερο ανταγωνισμό.»</w:t>
      </w:r>
      <w:r w:rsidR="00F97D94" w:rsidRPr="00282692">
        <w:rPr>
          <w:rStyle w:val="FootnoteReference"/>
          <w:rFonts w:ascii="Times New Roman" w:hAnsi="Times New Roman" w:cs="Times New Roman"/>
          <w:sz w:val="24"/>
          <w:szCs w:val="24"/>
        </w:rPr>
        <w:footnoteReference w:id="28"/>
      </w:r>
    </w:p>
    <w:p w:rsidR="00BA60B2" w:rsidRPr="00282692" w:rsidRDefault="000F1EF1"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lastRenderedPageBreak/>
        <w:tab/>
        <w:t xml:space="preserve">Στην απόφαση </w:t>
      </w:r>
      <w:proofErr w:type="spellStart"/>
      <w:r w:rsidRPr="00282692">
        <w:rPr>
          <w:rFonts w:ascii="Times New Roman" w:hAnsi="Times New Roman" w:cs="Times New Roman"/>
          <w:i/>
          <w:sz w:val="24"/>
          <w:szCs w:val="24"/>
          <w:lang w:val="en-US"/>
        </w:rPr>
        <w:t>Pronuptia</w:t>
      </w:r>
      <w:proofErr w:type="spellEnd"/>
      <w:r w:rsidR="00292807" w:rsidRPr="00282692">
        <w:rPr>
          <w:rStyle w:val="FootnoteReference"/>
          <w:rFonts w:ascii="Times New Roman" w:hAnsi="Times New Roman" w:cs="Times New Roman"/>
          <w:i/>
          <w:sz w:val="24"/>
          <w:szCs w:val="24"/>
          <w:lang w:val="en-US"/>
        </w:rPr>
        <w:footnoteReference w:id="29"/>
      </w:r>
      <w:r w:rsidRPr="00282692">
        <w:rPr>
          <w:rFonts w:ascii="Times New Roman" w:hAnsi="Times New Roman" w:cs="Times New Roman"/>
          <w:sz w:val="24"/>
          <w:szCs w:val="24"/>
        </w:rPr>
        <w:t xml:space="preserve">, το Δικαστήριο έκρινε </w:t>
      </w:r>
      <w:r w:rsidR="00B41544" w:rsidRPr="00282692">
        <w:rPr>
          <w:rFonts w:ascii="Times New Roman" w:hAnsi="Times New Roman" w:cs="Times New Roman"/>
          <w:sz w:val="24"/>
          <w:szCs w:val="24"/>
        </w:rPr>
        <w:t>ότι η συμφωνία δικαιόχρησης δεν είναι αυτή καθαυτή αντίθετη στο άρθρο 85 παρ. 1 ΣυνθΕΟΚ (νυν άρθρο 101 παρ. 1 ΣΛΕΕ).</w:t>
      </w:r>
      <w:r w:rsidR="00BA60B2" w:rsidRPr="00282692">
        <w:rPr>
          <w:rFonts w:ascii="Times New Roman" w:hAnsi="Times New Roman" w:cs="Times New Roman"/>
          <w:sz w:val="24"/>
          <w:szCs w:val="24"/>
        </w:rPr>
        <w:t xml:space="preserve"> Ωστόσο, απαιτείται να εξετάζεται το κείμενο της συγκεκριμένης συμφωνίας δικαιόχρησης προκειμένου να διαπιστωθεί αν στο κείμενο αυτό περιλαμβάνονται αντιανταγωνιστικές ρήτρες. Ειδικότερα, σύμφωνα με τις παραδοχές του Δικαστηρίου στην απόφαση </w:t>
      </w:r>
      <w:proofErr w:type="spellStart"/>
      <w:r w:rsidR="00BA60B2" w:rsidRPr="00282692">
        <w:rPr>
          <w:rFonts w:ascii="Times New Roman" w:hAnsi="Times New Roman" w:cs="Times New Roman"/>
          <w:i/>
          <w:sz w:val="24"/>
          <w:szCs w:val="24"/>
          <w:lang w:val="en-US"/>
        </w:rPr>
        <w:t>Pronuptia</w:t>
      </w:r>
      <w:proofErr w:type="spellEnd"/>
      <w:r w:rsidR="00BA60B2" w:rsidRPr="00282692">
        <w:rPr>
          <w:rFonts w:ascii="Times New Roman" w:hAnsi="Times New Roman" w:cs="Times New Roman"/>
          <w:sz w:val="24"/>
          <w:szCs w:val="24"/>
        </w:rPr>
        <w:t>, οι ρήτρες που είναι απαραίτητες για να εμποδιστούν οι ανταγωνιστές να επωφεληθούν από την τεχνογνωσία που μεταβιβάζεται και τη συνδρομή που παρέχεται από τον παραχωρητή δεν συνιστούν περιορισμούς του ανταγωνισμού υπό την έννοια του άρθρου 85 παρ. 1 ΣυνθΕΟΚ (ήδη άρθρου 101 παρ. 1 ΣΛΕΕ). Επίσης, δεν συνιστούν περιορισμούς του ανταγωνισμού υπό την έννοια του άρθρου 85 παρ. 1 ΣυνθΕΟΚ (ήδη άρθρου 101 παρ. 1 ΣΛΕΕ) οι ρήτρες που οργανώνουν τον απαραίτητο έλεγχο για τη διαφύλαξη της ταυτότητας και της καλής φήμης του δικτύου που συμβολίζεται με το διακριτικό γνώρισμα. Αντίθετα, οι ρήτρες, με τις οποίες πραγματοποιείται καταμερισμός των αγορών μεταξύ παραχωρητή και παραχωρησιούχων ή μεταξύ παραχωρησιούχων συνιστούν περιορισμούς του ανταγωνισμού υπό την έννοια του άρθρου 85, παράγραφος 1 (ήδη άρθρου 101 παρ. 1 ΣΛΕΕ). Τέλος, το γεγονός ότι ο παραχωρητής γνωστοποιεί στον παραχωρησιούχο ενδεικτικές τιμές δεν συνιστά περιορισμό του ανταγωνισμού υπό την προϋπόθεση ότι δεν υφίσταται μεταξύ του παραχωρητή και των παραχωρησιούχων ή μεταξύ των παραχωρησιούχων εναρμονισμένη πρακτική για την πραγματική εφαρμογή αυτών των τιμών.</w:t>
      </w:r>
    </w:p>
    <w:p w:rsidR="00832F7C" w:rsidRPr="00405B4E" w:rsidRDefault="00BA60B2"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Τέλος, στην απόφαση </w:t>
      </w:r>
      <w:proofErr w:type="spellStart"/>
      <w:r w:rsidRPr="00282692">
        <w:rPr>
          <w:rFonts w:ascii="Times New Roman" w:hAnsi="Times New Roman" w:cs="Times New Roman"/>
          <w:i/>
          <w:sz w:val="24"/>
          <w:szCs w:val="24"/>
          <w:lang w:val="en-US"/>
        </w:rPr>
        <w:t>Tournier</w:t>
      </w:r>
      <w:proofErr w:type="spellEnd"/>
      <w:r w:rsidR="00292807" w:rsidRPr="00282692">
        <w:rPr>
          <w:rStyle w:val="FootnoteReference"/>
          <w:rFonts w:ascii="Times New Roman" w:hAnsi="Times New Roman" w:cs="Times New Roman"/>
          <w:sz w:val="24"/>
          <w:szCs w:val="24"/>
          <w:lang w:val="en-US"/>
        </w:rPr>
        <w:footnoteReference w:id="30"/>
      </w:r>
      <w:r w:rsidRPr="00282692">
        <w:rPr>
          <w:rFonts w:ascii="Times New Roman" w:hAnsi="Times New Roman" w:cs="Times New Roman"/>
          <w:sz w:val="24"/>
          <w:szCs w:val="24"/>
        </w:rPr>
        <w:t xml:space="preserve">, </w:t>
      </w:r>
      <w:r w:rsidR="00D82F2D" w:rsidRPr="00282692">
        <w:rPr>
          <w:rFonts w:ascii="Times New Roman" w:hAnsi="Times New Roman" w:cs="Times New Roman"/>
          <w:sz w:val="24"/>
          <w:szCs w:val="24"/>
        </w:rPr>
        <w:t>τ</w:t>
      </w:r>
      <w:r w:rsidR="002162BF" w:rsidRPr="00282692">
        <w:rPr>
          <w:rFonts w:ascii="Times New Roman" w:hAnsi="Times New Roman" w:cs="Times New Roman"/>
          <w:sz w:val="24"/>
          <w:szCs w:val="24"/>
        </w:rPr>
        <w:t>ο Δικαστήριο έκρινε ότι το γεγονός ότιμια εθνική εταιρεία διαχείρισης δικαιωμάτων του δημιουργού στο μουσικό</w:t>
      </w:r>
      <w:r w:rsidR="00B35351">
        <w:rPr>
          <w:rFonts w:ascii="Times New Roman" w:hAnsi="Times New Roman" w:cs="Times New Roman"/>
          <w:sz w:val="24"/>
          <w:szCs w:val="24"/>
        </w:rPr>
        <w:t xml:space="preserve"> τομέα</w:t>
      </w:r>
      <w:r w:rsidR="002162BF" w:rsidRPr="00282692">
        <w:rPr>
          <w:rFonts w:ascii="Times New Roman" w:hAnsi="Times New Roman" w:cs="Times New Roman"/>
          <w:sz w:val="24"/>
          <w:szCs w:val="24"/>
        </w:rPr>
        <w:t xml:space="preserve">αρνείται στους χρήστες εγγεγραμμένης μουσικής την πρόσβαση μόνο στο αλλοδαπό ρεπερτόριο που αντιπροσωπεύει δεν έχει, κατ’ ανάγκη, ως σκοπό ή ως αποτέλεσμα τον περιορισμό του ανταγωνισμού στην κοινή αγορά. Αντίθετα, για να γίνει δεκτός ένας περιορισμός του ανταγωνισμού πρέπει </w:t>
      </w:r>
      <w:r w:rsidR="00832F7C" w:rsidRPr="00282692">
        <w:rPr>
          <w:rFonts w:ascii="Times New Roman" w:hAnsi="Times New Roman" w:cs="Times New Roman"/>
          <w:sz w:val="24"/>
          <w:szCs w:val="24"/>
        </w:rPr>
        <w:t>να διαπιστώνεται ότι η πρόσβαση σε μέρος του προστατευόμενου ρεπερτορίου μπορούσε να διαφυλάξει πλήρως τα συμφέροντα των δημιουργών, συνθετών και εκδοτών μουσικής χωρίς, ωστόσο, να αυξάνει τα έξοδα για τη διαχείριση των συμβάσεων και για την εποπτεία στη χρησιμοποίηση των προστατευόμενων μουσικών έργων</w:t>
      </w:r>
      <w:r w:rsidR="00832F7C" w:rsidRPr="00282692">
        <w:rPr>
          <w:rStyle w:val="FootnoteReference"/>
          <w:rFonts w:ascii="Times New Roman" w:hAnsi="Times New Roman" w:cs="Times New Roman"/>
          <w:sz w:val="24"/>
          <w:szCs w:val="24"/>
        </w:rPr>
        <w:footnoteReference w:id="31"/>
      </w:r>
      <w:r w:rsidR="00832F7C" w:rsidRPr="00282692">
        <w:rPr>
          <w:rFonts w:ascii="Times New Roman" w:hAnsi="Times New Roman" w:cs="Times New Roman"/>
          <w:sz w:val="24"/>
          <w:szCs w:val="24"/>
        </w:rPr>
        <w:t xml:space="preserve">. Στην υπόθεση </w:t>
      </w:r>
      <w:proofErr w:type="spellStart"/>
      <w:r w:rsidR="00832F7C" w:rsidRPr="00282692">
        <w:rPr>
          <w:rFonts w:ascii="Times New Roman" w:hAnsi="Times New Roman" w:cs="Times New Roman"/>
          <w:i/>
          <w:sz w:val="24"/>
          <w:szCs w:val="24"/>
          <w:lang w:val="en-US"/>
        </w:rPr>
        <w:t>Tournier</w:t>
      </w:r>
      <w:proofErr w:type="spellEnd"/>
      <w:r w:rsidR="00832F7C" w:rsidRPr="00282692">
        <w:rPr>
          <w:rFonts w:ascii="Times New Roman" w:hAnsi="Times New Roman" w:cs="Times New Roman"/>
          <w:sz w:val="24"/>
          <w:szCs w:val="24"/>
        </w:rPr>
        <w:t xml:space="preserve">, λοιπόν, η αύξηση των εξόδων για τη διαχείριση των συμβάσεων και για την εποπτεία στη χρησιμοποίηση των προστατευόμενων μουσικών έργων, δηλαδή μια αμιγώς οικονομικής φύσης παράμετρος, καθόρισε το αποτέλεσμα της απόφασης του Δικαστηρίου.  </w:t>
      </w:r>
      <w:r w:rsidR="00832F7C" w:rsidRPr="00282692">
        <w:rPr>
          <w:rFonts w:ascii="Times New Roman" w:hAnsi="Times New Roman" w:cs="Times New Roman"/>
          <w:sz w:val="24"/>
          <w:szCs w:val="24"/>
        </w:rPr>
        <w:cr/>
      </w:r>
    </w:p>
    <w:p w:rsidR="00B90451" w:rsidRPr="00405B4E" w:rsidRDefault="00B90451" w:rsidP="00282692">
      <w:pPr>
        <w:spacing w:after="0" w:line="240" w:lineRule="auto"/>
        <w:jc w:val="both"/>
        <w:rPr>
          <w:rFonts w:ascii="Times New Roman" w:hAnsi="Times New Roman" w:cs="Times New Roman"/>
          <w:sz w:val="24"/>
          <w:szCs w:val="24"/>
        </w:rPr>
      </w:pPr>
    </w:p>
    <w:p w:rsidR="00347ED4" w:rsidRPr="00282692" w:rsidRDefault="00832F7C" w:rsidP="00282692">
      <w:pPr>
        <w:spacing w:after="0" w:line="240" w:lineRule="auto"/>
        <w:jc w:val="both"/>
        <w:rPr>
          <w:rFonts w:ascii="Times New Roman" w:hAnsi="Times New Roman" w:cs="Times New Roman"/>
          <w:b/>
          <w:sz w:val="24"/>
          <w:szCs w:val="24"/>
        </w:rPr>
      </w:pPr>
      <w:r w:rsidRPr="00282692">
        <w:rPr>
          <w:rFonts w:ascii="Times New Roman" w:hAnsi="Times New Roman" w:cs="Times New Roman"/>
          <w:b/>
          <w:sz w:val="24"/>
          <w:szCs w:val="24"/>
        </w:rPr>
        <w:t>2.Εφαρμογή των αρχών της οικονομικής ανάλυσης κατά την εφαρμογή του άρθρου 101 παρ. 3 ΣΛΕΕ</w:t>
      </w:r>
    </w:p>
    <w:p w:rsidR="002162BF" w:rsidRPr="00282692" w:rsidRDefault="002162BF" w:rsidP="00282692">
      <w:pPr>
        <w:spacing w:after="0" w:line="240" w:lineRule="auto"/>
        <w:jc w:val="both"/>
        <w:rPr>
          <w:rFonts w:ascii="Times New Roman" w:hAnsi="Times New Roman" w:cs="Times New Roman"/>
          <w:sz w:val="24"/>
          <w:szCs w:val="24"/>
        </w:rPr>
      </w:pPr>
    </w:p>
    <w:p w:rsidR="00292807" w:rsidRPr="00282692" w:rsidRDefault="00292807" w:rsidP="00B35351">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Σύμφωνα με το άρθρο 101 παρ. 3 ΣΛΕΕ, συμπράξεις (δηλαδή συμφωνίες, εναρμονισμένες πρακτικές και αποφάσεις ενώσεων επιχειρήσεων) που απαγορεύονται καταρχήν από το άρθρο 101 παρ. 1 ΣΛΕΕ μπορούν τελικά να κριθούν νόμιμες και συμβατές με την εσωτερική αγορά, εφόσον σωρευτικά πληρούνται τέσσερις προϋποθέσεις:</w:t>
      </w:r>
    </w:p>
    <w:p w:rsidR="00292807" w:rsidRPr="00282692" w:rsidRDefault="00292807"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i) Η σύμπραξη συμβάλλει στη βελτίωση της παραγωγής ή της διανομής των προϊόντων ή στην προώθηση της τεχνικής – οικονομικής προόδου</w:t>
      </w:r>
    </w:p>
    <w:p w:rsidR="00292807" w:rsidRPr="00282692" w:rsidRDefault="00292807"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lastRenderedPageBreak/>
        <w:t>ii) εξασφαλίζει δίκαιο τμήμα στους καταναλωτές από το όφελος που προκύπτει</w:t>
      </w:r>
    </w:p>
    <w:p w:rsidR="00292807" w:rsidRPr="00282692" w:rsidRDefault="00292807"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iii) οι περιορισμοί που επιβάλλονται στις συμπράττουσες επιχειρήσεις είναι απαραίτητοι για την επίτευξη των παραπάνω στόχων (υπό (i))</w:t>
      </w:r>
    </w:p>
    <w:p w:rsidR="00292807" w:rsidRPr="00282692" w:rsidRDefault="00292807"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iv) η σύμπραξη δεν παρέχει στα μέρη τη δυνατότητα κατάργησης του ανταγωνισμού σε σημαντικό τμήμα των σχετικών προϊόντων (σχετικής αγοράς).</w:t>
      </w:r>
    </w:p>
    <w:p w:rsidR="00292807" w:rsidRPr="00282692" w:rsidRDefault="00292807"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Εφόσον συντρέχουν οι παραπάνω προϋποθέσεις, η σύμπραξη είναι αυτοδικαίως νόμιμη, χωρίς να απαιτείται η έκδοση απόφασης για την αναγνώριση της εγκυρότητας της σύμπραξης.</w:t>
      </w:r>
    </w:p>
    <w:p w:rsidR="00292807" w:rsidRPr="00282692" w:rsidRDefault="00292807"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Σύμφωνα με τη νομολογία του Δικαστηρίου, η εγκυρότητα μιας σύμπραξης κατά το άρθρο 101 παρ. 3 ΣΛΕΕ σημαίνει ότι τα οφέλη που προκύπτουν από την εκτέλεσή της πρέπει «</w:t>
      </w:r>
      <w:r w:rsidRPr="00B35351">
        <w:rPr>
          <w:rFonts w:ascii="Times New Roman" w:hAnsi="Times New Roman" w:cs="Times New Roman"/>
          <w:b/>
          <w:sz w:val="24"/>
          <w:szCs w:val="24"/>
        </w:rPr>
        <w:t>να δείχνουν σημαντικά αντικειμενικά πλεονεκτήματα τέτοιου χαρακτήρα ώστε να αποζημιώνουν για τα μειονεκτήματα που δημιουργούν στο χώρο του ανταγωνισμού.</w:t>
      </w:r>
      <w:r w:rsidRPr="00282692">
        <w:rPr>
          <w:rFonts w:ascii="Times New Roman" w:hAnsi="Times New Roman" w:cs="Times New Roman"/>
          <w:sz w:val="24"/>
          <w:szCs w:val="24"/>
        </w:rPr>
        <w:t>»</w:t>
      </w:r>
      <w:r w:rsidRPr="00282692">
        <w:rPr>
          <w:rStyle w:val="FootnoteReference"/>
          <w:rFonts w:ascii="Times New Roman" w:hAnsi="Times New Roman" w:cs="Times New Roman"/>
          <w:sz w:val="24"/>
          <w:szCs w:val="24"/>
        </w:rPr>
        <w:footnoteReference w:id="32"/>
      </w:r>
    </w:p>
    <w:p w:rsidR="00292807" w:rsidRPr="00282692" w:rsidRDefault="00292807"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Ως παραδείγματα συμπράξεων που κρίθηκαν νόμιμες υπό το πρίσμα</w:t>
      </w:r>
      <w:r w:rsidR="00EE0CBA" w:rsidRPr="00282692">
        <w:rPr>
          <w:rFonts w:ascii="Times New Roman" w:hAnsi="Times New Roman" w:cs="Times New Roman"/>
          <w:sz w:val="24"/>
          <w:szCs w:val="24"/>
        </w:rPr>
        <w:t xml:space="preserve"> του άρθρου 101 παρ. 3 ΣΛΕΕ, με επιχειρήματα οικονομικής φύσης,</w:t>
      </w:r>
      <w:r w:rsidRPr="00282692">
        <w:rPr>
          <w:rFonts w:ascii="Times New Roman" w:hAnsi="Times New Roman" w:cs="Times New Roman"/>
          <w:sz w:val="24"/>
          <w:szCs w:val="24"/>
        </w:rPr>
        <w:t xml:space="preserve"> αναφέρονται ενδεικτικά:</w:t>
      </w:r>
    </w:p>
    <w:p w:rsidR="00292807" w:rsidRPr="00282692" w:rsidRDefault="00292807"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 xml:space="preserve">α) Στην υπόθεση </w:t>
      </w:r>
      <w:r w:rsidRPr="00282692">
        <w:rPr>
          <w:rFonts w:ascii="Times New Roman" w:hAnsi="Times New Roman" w:cs="Times New Roman"/>
          <w:i/>
          <w:sz w:val="24"/>
          <w:szCs w:val="24"/>
        </w:rPr>
        <w:t>Beecham/Parke-Davis</w:t>
      </w:r>
      <w:r w:rsidRPr="00282692">
        <w:rPr>
          <w:rFonts w:ascii="Times New Roman" w:hAnsi="Times New Roman" w:cs="Times New Roman"/>
          <w:sz w:val="24"/>
          <w:szCs w:val="24"/>
        </w:rPr>
        <w:t>, κρίθηκε ότι η επίμαχη συμφωνία στον τομέα της φαρμακευτικής έρευνας και τεχνολογίας (R&amp;D) θα προωθούσε την «τεχνική πρόοδο» με τη δημιουργία ενός πρωτοποριακού φαρμάκου κατά των μακροχρόνιων δυσλειτουργιών του αίματος</w:t>
      </w:r>
      <w:r w:rsidR="00EE0CBA" w:rsidRPr="00282692">
        <w:rPr>
          <w:rStyle w:val="FootnoteReference"/>
          <w:rFonts w:ascii="Times New Roman" w:hAnsi="Times New Roman" w:cs="Times New Roman"/>
          <w:sz w:val="24"/>
          <w:szCs w:val="24"/>
        </w:rPr>
        <w:footnoteReference w:id="33"/>
      </w:r>
      <w:r w:rsidR="00EE0CBA" w:rsidRPr="00282692">
        <w:rPr>
          <w:rFonts w:ascii="Times New Roman" w:hAnsi="Times New Roman" w:cs="Times New Roman"/>
          <w:sz w:val="24"/>
          <w:szCs w:val="24"/>
        </w:rPr>
        <w:t>.</w:t>
      </w:r>
    </w:p>
    <w:p w:rsidR="00292807" w:rsidRPr="00282692" w:rsidRDefault="00292807"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 xml:space="preserve">β) Στην υπόθεση </w:t>
      </w:r>
      <w:r w:rsidRPr="00282692">
        <w:rPr>
          <w:rFonts w:ascii="Times New Roman" w:hAnsi="Times New Roman" w:cs="Times New Roman"/>
          <w:i/>
          <w:sz w:val="24"/>
          <w:szCs w:val="24"/>
        </w:rPr>
        <w:t>Ford/Volkswagen</w:t>
      </w:r>
      <w:r w:rsidR="00EE0CBA" w:rsidRPr="00282692">
        <w:rPr>
          <w:rFonts w:ascii="Times New Roman" w:hAnsi="Times New Roman" w:cs="Times New Roman"/>
          <w:sz w:val="24"/>
          <w:szCs w:val="24"/>
        </w:rPr>
        <w:t>,</w:t>
      </w:r>
      <w:r w:rsidRPr="00282692">
        <w:rPr>
          <w:rFonts w:ascii="Times New Roman" w:hAnsi="Times New Roman" w:cs="Times New Roman"/>
          <w:sz w:val="24"/>
          <w:szCs w:val="24"/>
        </w:rPr>
        <w:t xml:space="preserve"> κρίθηκε ότι η δημιουργία μιας κοινοπραξίας στην Πορτογαλία για την κατασκευή ενός οχήματος πολλών χρήσεων θα βελτίωνε την παραγωγή προϊόντων και θα προωθούσε την τεχνική ανάπτυξη</w:t>
      </w:r>
      <w:r w:rsidR="00EE0CBA" w:rsidRPr="00282692">
        <w:rPr>
          <w:rStyle w:val="FootnoteReference"/>
          <w:rFonts w:ascii="Times New Roman" w:hAnsi="Times New Roman" w:cs="Times New Roman"/>
          <w:sz w:val="24"/>
          <w:szCs w:val="24"/>
        </w:rPr>
        <w:footnoteReference w:id="34"/>
      </w:r>
      <w:r w:rsidRPr="00282692">
        <w:rPr>
          <w:rFonts w:ascii="Times New Roman" w:hAnsi="Times New Roman" w:cs="Times New Roman"/>
          <w:sz w:val="24"/>
          <w:szCs w:val="24"/>
        </w:rPr>
        <w:t>.</w:t>
      </w:r>
    </w:p>
    <w:p w:rsidR="00EE0CBA" w:rsidRPr="00282692" w:rsidRDefault="00EE0CBA"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γ)Σ</w:t>
      </w:r>
      <w:r w:rsidR="00292807" w:rsidRPr="00282692">
        <w:rPr>
          <w:rFonts w:ascii="Times New Roman" w:hAnsi="Times New Roman" w:cs="Times New Roman"/>
          <w:sz w:val="24"/>
          <w:szCs w:val="24"/>
        </w:rPr>
        <w:t xml:space="preserve">την υπόθεση </w:t>
      </w:r>
      <w:r w:rsidR="00292807" w:rsidRPr="00282692">
        <w:rPr>
          <w:rFonts w:ascii="Times New Roman" w:hAnsi="Times New Roman" w:cs="Times New Roman"/>
          <w:i/>
          <w:sz w:val="24"/>
          <w:szCs w:val="24"/>
        </w:rPr>
        <w:t>GlaxoSmithKlineServices</w:t>
      </w:r>
      <w:r w:rsidRPr="00282692">
        <w:rPr>
          <w:rFonts w:ascii="Times New Roman" w:hAnsi="Times New Roman" w:cs="Times New Roman"/>
          <w:sz w:val="24"/>
          <w:szCs w:val="24"/>
        </w:rPr>
        <w:t>,</w:t>
      </w:r>
      <w:r w:rsidR="00292807" w:rsidRPr="00282692">
        <w:rPr>
          <w:rFonts w:ascii="Times New Roman" w:hAnsi="Times New Roman" w:cs="Times New Roman"/>
          <w:sz w:val="24"/>
          <w:szCs w:val="24"/>
        </w:rPr>
        <w:t xml:space="preserve"> το Πρωτοδικείο και νυν Γενικό Δικαστήριο έκρινε ότι η επίμαχη σύμπραξη ήταν απαραίτητη για την τόνωση και την υποστήριξη της διεθνούς έρευνας και τεχνολογίας (R&amp;D), η οποία διαφορετικά θα είχε τεράστιο κόστος και θα ενείχε πολλούς κινδύνους</w:t>
      </w:r>
      <w:r w:rsidRPr="00282692">
        <w:rPr>
          <w:rStyle w:val="FootnoteReference"/>
          <w:rFonts w:ascii="Times New Roman" w:hAnsi="Times New Roman" w:cs="Times New Roman"/>
          <w:sz w:val="24"/>
          <w:szCs w:val="24"/>
        </w:rPr>
        <w:footnoteReference w:id="35"/>
      </w:r>
      <w:r w:rsidR="00292807" w:rsidRPr="00282692">
        <w:rPr>
          <w:rFonts w:ascii="Times New Roman" w:hAnsi="Times New Roman" w:cs="Times New Roman"/>
          <w:sz w:val="24"/>
          <w:szCs w:val="24"/>
        </w:rPr>
        <w:t>.</w:t>
      </w:r>
    </w:p>
    <w:p w:rsidR="00EE0CBA" w:rsidRPr="00282692" w:rsidRDefault="00EE0CBA"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 xml:space="preserve">δ) Στην υπόθεση </w:t>
      </w:r>
      <w:r w:rsidRPr="00282692">
        <w:rPr>
          <w:rFonts w:ascii="Times New Roman" w:hAnsi="Times New Roman" w:cs="Times New Roman"/>
          <w:i/>
          <w:sz w:val="24"/>
          <w:szCs w:val="24"/>
          <w:lang w:val="en-US"/>
        </w:rPr>
        <w:t>W</w:t>
      </w:r>
      <w:r w:rsidR="006F1C25" w:rsidRPr="00282692">
        <w:rPr>
          <w:rFonts w:ascii="Times New Roman" w:hAnsi="Times New Roman" w:cs="Times New Roman"/>
          <w:i/>
          <w:sz w:val="24"/>
          <w:szCs w:val="24"/>
          <w:lang w:val="en-US"/>
        </w:rPr>
        <w:t>hit</w:t>
      </w:r>
      <w:r w:rsidRPr="00282692">
        <w:rPr>
          <w:rFonts w:ascii="Times New Roman" w:hAnsi="Times New Roman" w:cs="Times New Roman"/>
          <w:i/>
          <w:sz w:val="24"/>
          <w:szCs w:val="24"/>
          <w:lang w:val="en-US"/>
        </w:rPr>
        <w:t>bread</w:t>
      </w:r>
      <w:r w:rsidRPr="00282692">
        <w:rPr>
          <w:rFonts w:ascii="Times New Roman" w:hAnsi="Times New Roman" w:cs="Times New Roman"/>
          <w:sz w:val="24"/>
          <w:szCs w:val="24"/>
        </w:rPr>
        <w:t>, η Επιτροπή χορήγησε ατομική απαλλαγή κηρύσσοντας ανεφάρμοστες τις διατάξεις του άρθρου 81 παρ. 3 ΣυνθΕΟΚ (ήδη άρθρου 101 παρ. 3 ΣΛΕΕ) για συμφωνίες διανομής μπύρας στο Ην. Βασίλειο λόγω πλεονεκτημάτων που παραχωρούσαν οι παραγωγοί στους διανομείς, όπως υπηρεσίες προστιθέμενης αξίας, επενδύσεις, άμεση επιχειρησιακή υποστήριξη, διαφημιστικά έξοδα και έξοδα πρώτης εγκατάστασης</w:t>
      </w:r>
      <w:r w:rsidRPr="00282692">
        <w:rPr>
          <w:rStyle w:val="FootnoteReference"/>
          <w:rFonts w:ascii="Times New Roman" w:hAnsi="Times New Roman" w:cs="Times New Roman"/>
          <w:sz w:val="24"/>
          <w:szCs w:val="24"/>
        </w:rPr>
        <w:footnoteReference w:id="36"/>
      </w:r>
      <w:r w:rsidRPr="00282692">
        <w:rPr>
          <w:rFonts w:ascii="Times New Roman" w:hAnsi="Times New Roman" w:cs="Times New Roman"/>
          <w:sz w:val="24"/>
          <w:szCs w:val="24"/>
        </w:rPr>
        <w:t>.</w:t>
      </w:r>
    </w:p>
    <w:p w:rsidR="00EE0CBA" w:rsidRPr="00282692" w:rsidRDefault="00EE0CBA"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 xml:space="preserve">ε) Στην υπόθεση </w:t>
      </w:r>
      <w:r w:rsidRPr="00282692">
        <w:rPr>
          <w:rFonts w:ascii="Times New Roman" w:hAnsi="Times New Roman" w:cs="Times New Roman"/>
          <w:i/>
          <w:sz w:val="24"/>
          <w:szCs w:val="24"/>
          <w:lang w:val="en-US"/>
        </w:rPr>
        <w:t>Rockwell</w:t>
      </w:r>
      <w:r w:rsidRPr="00282692">
        <w:rPr>
          <w:rFonts w:ascii="Times New Roman" w:hAnsi="Times New Roman" w:cs="Times New Roman"/>
          <w:i/>
          <w:sz w:val="24"/>
          <w:szCs w:val="24"/>
        </w:rPr>
        <w:t>/</w:t>
      </w:r>
      <w:proofErr w:type="spellStart"/>
      <w:r w:rsidRPr="00282692">
        <w:rPr>
          <w:rFonts w:ascii="Times New Roman" w:hAnsi="Times New Roman" w:cs="Times New Roman"/>
          <w:i/>
          <w:sz w:val="24"/>
          <w:szCs w:val="24"/>
          <w:lang w:val="en-US"/>
        </w:rPr>
        <w:t>Iveco</w:t>
      </w:r>
      <w:proofErr w:type="spellEnd"/>
      <w:r w:rsidRPr="00282692">
        <w:rPr>
          <w:rFonts w:ascii="Times New Roman" w:hAnsi="Times New Roman" w:cs="Times New Roman"/>
          <w:sz w:val="24"/>
          <w:szCs w:val="24"/>
        </w:rPr>
        <w:t>, η Επιτροπή χορήγησε ατομική απαλλαγή κηρύσσοντας ανεφάρμοστες τις διατάξεις του άρθρου 81 παρ. 3 ΣυνθΕΟΚ (ήδη άρθρου 101 παρ. 3 ΣΛΕΕ) για ίδρυση κοινής επιχείρησης, απαραίτητης λόγω διάρθρωσης της αγοράς γεφυρών, από την οποία προκύπτουν οικονομικά οφέλη για τους καταναλωτές και για τους πελάτες λόγω προσφοράς προϊόντων προηγμένης τεχνολογίας</w:t>
      </w:r>
      <w:r w:rsidRPr="00282692">
        <w:rPr>
          <w:rStyle w:val="FootnoteReference"/>
          <w:rFonts w:ascii="Times New Roman" w:hAnsi="Times New Roman" w:cs="Times New Roman"/>
          <w:sz w:val="24"/>
          <w:szCs w:val="24"/>
        </w:rPr>
        <w:footnoteReference w:id="37"/>
      </w:r>
      <w:r w:rsidRPr="00282692">
        <w:rPr>
          <w:rFonts w:ascii="Times New Roman" w:hAnsi="Times New Roman" w:cs="Times New Roman"/>
          <w:sz w:val="24"/>
          <w:szCs w:val="24"/>
        </w:rPr>
        <w:t>.</w:t>
      </w:r>
    </w:p>
    <w:p w:rsidR="00DD3F70" w:rsidRPr="00282692" w:rsidRDefault="00EE0CBA"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 xml:space="preserve">στ) Στην υπόθεση </w:t>
      </w:r>
      <w:proofErr w:type="spellStart"/>
      <w:r w:rsidRPr="00282692">
        <w:rPr>
          <w:rFonts w:ascii="Times New Roman" w:hAnsi="Times New Roman" w:cs="Times New Roman"/>
          <w:i/>
          <w:sz w:val="24"/>
          <w:szCs w:val="24"/>
          <w:lang w:val="en-US"/>
        </w:rPr>
        <w:t>NuovaCEGAM</w:t>
      </w:r>
      <w:proofErr w:type="spellEnd"/>
      <w:r w:rsidRPr="00282692">
        <w:rPr>
          <w:rFonts w:ascii="Times New Roman" w:hAnsi="Times New Roman" w:cs="Times New Roman"/>
          <w:sz w:val="24"/>
          <w:szCs w:val="24"/>
        </w:rPr>
        <w:t xml:space="preserve">, </w:t>
      </w:r>
      <w:r w:rsidR="00DD3F70" w:rsidRPr="00282692">
        <w:rPr>
          <w:rFonts w:ascii="Times New Roman" w:hAnsi="Times New Roman" w:cs="Times New Roman"/>
          <w:sz w:val="24"/>
          <w:szCs w:val="24"/>
        </w:rPr>
        <w:t xml:space="preserve">η Επιτροπή χορήγησε ατομική απαλλαγή κηρύσσοντας ανεφάρμοστες τις διατάξεις του άρθρου 81 παρ. 3 ΣυνθΕΟΚ (ήδη άρθρου 101 παρ. 3 ΣΛΕΕ) για σύσταση </w:t>
      </w:r>
      <w:r w:rsidR="00DD3F70" w:rsidRPr="00282692">
        <w:rPr>
          <w:rFonts w:ascii="Times New Roman" w:hAnsi="Times New Roman" w:cs="Times New Roman"/>
          <w:sz w:val="24"/>
          <w:szCs w:val="24"/>
          <w:lang w:val="en-US"/>
        </w:rPr>
        <w:t>consortium</w:t>
      </w:r>
      <w:r w:rsidR="00DD3F70" w:rsidRPr="00282692">
        <w:rPr>
          <w:rFonts w:ascii="Times New Roman" w:hAnsi="Times New Roman" w:cs="Times New Roman"/>
          <w:sz w:val="24"/>
          <w:szCs w:val="24"/>
        </w:rPr>
        <w:t xml:space="preserve"> ασφαλιστών με στόχο την απόκτηση εξειδικευμένων γνώσεων που απαιτούνται για την αποτελεσματική διαχείριση του κλάδου (στατιστικές πληροφορίες, μελέτη των κινδύνων, μεθοδολογία </w:t>
      </w:r>
      <w:r w:rsidR="00DD3F70" w:rsidRPr="00282692">
        <w:rPr>
          <w:rFonts w:ascii="Times New Roman" w:hAnsi="Times New Roman" w:cs="Times New Roman"/>
          <w:sz w:val="24"/>
          <w:szCs w:val="24"/>
        </w:rPr>
        <w:lastRenderedPageBreak/>
        <w:t>προβλέψεων) και για την απόκτηση των ανάλογων αντασφαλιστικών υποστηριγμάτων, διότι θεωρήθηκε ως όργανο για τη βελτίωση της παραγωγής ή της διανομής της ασφαλιστικής υπηρεσίας και για τη βελτίωση της τεχνικής ή οικονομικής προόδου</w:t>
      </w:r>
      <w:r w:rsidR="00DD3F70" w:rsidRPr="00282692">
        <w:rPr>
          <w:rStyle w:val="FootnoteReference"/>
          <w:rFonts w:ascii="Times New Roman" w:hAnsi="Times New Roman" w:cs="Times New Roman"/>
          <w:sz w:val="24"/>
          <w:szCs w:val="24"/>
        </w:rPr>
        <w:footnoteReference w:id="38"/>
      </w:r>
      <w:r w:rsidR="00DD3F70" w:rsidRPr="00282692">
        <w:rPr>
          <w:rFonts w:ascii="Times New Roman" w:hAnsi="Times New Roman" w:cs="Times New Roman"/>
          <w:sz w:val="24"/>
          <w:szCs w:val="24"/>
        </w:rPr>
        <w:t>.</w:t>
      </w:r>
    </w:p>
    <w:p w:rsidR="00DD3F70" w:rsidRPr="00282692" w:rsidRDefault="00DD3F70" w:rsidP="00282692">
      <w:pPr>
        <w:spacing w:after="0" w:line="240" w:lineRule="auto"/>
        <w:jc w:val="both"/>
        <w:rPr>
          <w:rFonts w:ascii="Times New Roman" w:hAnsi="Times New Roman" w:cs="Times New Roman"/>
          <w:sz w:val="24"/>
          <w:szCs w:val="24"/>
        </w:rPr>
      </w:pPr>
    </w:p>
    <w:p w:rsidR="00BA60B2" w:rsidRPr="00282692" w:rsidRDefault="00BA60B2" w:rsidP="00282692">
      <w:pPr>
        <w:spacing w:after="0" w:line="240" w:lineRule="auto"/>
        <w:jc w:val="both"/>
        <w:rPr>
          <w:rFonts w:ascii="Times New Roman" w:hAnsi="Times New Roman" w:cs="Times New Roman"/>
          <w:sz w:val="24"/>
          <w:szCs w:val="24"/>
        </w:rPr>
      </w:pPr>
    </w:p>
    <w:p w:rsidR="000F1EF1" w:rsidRPr="00282692" w:rsidRDefault="009F60F8"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r>
      <w:r w:rsidR="00FB5F74" w:rsidRPr="00282692">
        <w:rPr>
          <w:rFonts w:ascii="Times New Roman" w:hAnsi="Times New Roman" w:cs="Times New Roman"/>
          <w:sz w:val="24"/>
          <w:szCs w:val="24"/>
        </w:rPr>
        <w:cr/>
      </w:r>
    </w:p>
    <w:p w:rsidR="00FB5F74" w:rsidRPr="00282692" w:rsidRDefault="00211745"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r>
    </w:p>
    <w:p w:rsidR="00483561" w:rsidRPr="00282692" w:rsidRDefault="00483561" w:rsidP="00282692">
      <w:pPr>
        <w:spacing w:after="0" w:line="240" w:lineRule="auto"/>
        <w:jc w:val="both"/>
        <w:rPr>
          <w:rFonts w:ascii="Times New Roman" w:hAnsi="Times New Roman" w:cs="Times New Roman"/>
          <w:sz w:val="24"/>
          <w:szCs w:val="24"/>
        </w:rPr>
      </w:pPr>
    </w:p>
    <w:p w:rsidR="009F034B" w:rsidRPr="00282692" w:rsidRDefault="009F034B" w:rsidP="00282692">
      <w:pPr>
        <w:spacing w:line="240" w:lineRule="auto"/>
        <w:rPr>
          <w:rFonts w:ascii="Times New Roman" w:hAnsi="Times New Roman" w:cs="Times New Roman"/>
          <w:b/>
          <w:sz w:val="24"/>
          <w:szCs w:val="24"/>
        </w:rPr>
      </w:pPr>
      <w:r w:rsidRPr="00282692">
        <w:rPr>
          <w:rFonts w:ascii="Times New Roman" w:hAnsi="Times New Roman" w:cs="Times New Roman"/>
          <w:b/>
          <w:sz w:val="24"/>
          <w:szCs w:val="24"/>
        </w:rPr>
        <w:br w:type="page"/>
      </w:r>
    </w:p>
    <w:p w:rsidR="00724EA6" w:rsidRPr="00B90451" w:rsidRDefault="00724EA6" w:rsidP="00282692">
      <w:pPr>
        <w:spacing w:after="0" w:line="240" w:lineRule="auto"/>
        <w:jc w:val="both"/>
        <w:rPr>
          <w:rFonts w:ascii="Times New Roman" w:hAnsi="Times New Roman" w:cs="Times New Roman"/>
          <w:b/>
          <w:sz w:val="28"/>
          <w:szCs w:val="24"/>
        </w:rPr>
      </w:pPr>
      <w:r w:rsidRPr="00B90451">
        <w:rPr>
          <w:rFonts w:ascii="Times New Roman" w:hAnsi="Times New Roman" w:cs="Times New Roman"/>
          <w:b/>
          <w:sz w:val="28"/>
          <w:szCs w:val="24"/>
          <w:lang w:val="en-US"/>
        </w:rPr>
        <w:lastRenderedPageBreak/>
        <w:t>II</w:t>
      </w:r>
      <w:r w:rsidR="00B90451" w:rsidRPr="00B90451">
        <w:rPr>
          <w:rFonts w:ascii="Times New Roman" w:hAnsi="Times New Roman" w:cs="Times New Roman"/>
          <w:b/>
          <w:sz w:val="28"/>
          <w:szCs w:val="24"/>
          <w:lang w:val="en-US"/>
        </w:rPr>
        <w:t>I</w:t>
      </w:r>
      <w:r w:rsidRPr="00B90451">
        <w:rPr>
          <w:rFonts w:ascii="Times New Roman" w:hAnsi="Times New Roman" w:cs="Times New Roman"/>
          <w:b/>
          <w:sz w:val="28"/>
          <w:szCs w:val="24"/>
        </w:rPr>
        <w:t>. Εφαρμογή των αρχών της οικονομικής ανάλυσης κατά την εφαρμογή του άρθρου 102 ΣΛΕΕ</w:t>
      </w:r>
    </w:p>
    <w:p w:rsidR="00724EA6" w:rsidRPr="00282692" w:rsidRDefault="00724EA6" w:rsidP="00282692">
      <w:pPr>
        <w:spacing w:after="0" w:line="240" w:lineRule="auto"/>
        <w:jc w:val="both"/>
        <w:rPr>
          <w:rFonts w:ascii="Times New Roman" w:hAnsi="Times New Roman" w:cs="Times New Roman"/>
          <w:b/>
          <w:sz w:val="24"/>
          <w:szCs w:val="24"/>
        </w:rPr>
      </w:pPr>
    </w:p>
    <w:p w:rsidR="00A1187D" w:rsidRPr="00282692" w:rsidRDefault="00BC1251" w:rsidP="00282692">
      <w:pPr>
        <w:spacing w:after="0" w:line="240" w:lineRule="auto"/>
        <w:jc w:val="both"/>
        <w:rPr>
          <w:rFonts w:ascii="Times New Roman" w:hAnsi="Times New Roman" w:cs="Times New Roman"/>
          <w:b/>
          <w:sz w:val="24"/>
          <w:szCs w:val="24"/>
        </w:rPr>
      </w:pPr>
      <w:r w:rsidRPr="00282692">
        <w:rPr>
          <w:rFonts w:ascii="Times New Roman" w:hAnsi="Times New Roman" w:cs="Times New Roman"/>
          <w:b/>
          <w:sz w:val="24"/>
          <w:szCs w:val="24"/>
        </w:rPr>
        <w:t>1.</w:t>
      </w:r>
      <w:r w:rsidR="00B13131" w:rsidRPr="00282692">
        <w:rPr>
          <w:rFonts w:ascii="Times New Roman" w:hAnsi="Times New Roman" w:cs="Times New Roman"/>
          <w:b/>
          <w:sz w:val="24"/>
          <w:szCs w:val="24"/>
        </w:rPr>
        <w:t>Εισαγωγικά</w:t>
      </w:r>
    </w:p>
    <w:p w:rsidR="00A1187D" w:rsidRPr="00282692" w:rsidRDefault="00A1187D" w:rsidP="00282692">
      <w:pPr>
        <w:spacing w:after="0" w:line="240" w:lineRule="auto"/>
        <w:jc w:val="both"/>
        <w:rPr>
          <w:rFonts w:ascii="Times New Roman" w:hAnsi="Times New Roman" w:cs="Times New Roman"/>
          <w:b/>
          <w:sz w:val="24"/>
          <w:szCs w:val="24"/>
        </w:rPr>
      </w:pPr>
    </w:p>
    <w:p w:rsidR="00B13131" w:rsidRPr="00282692" w:rsidRDefault="00B13131"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Σύμφωνα με το άρθρο 102 ΣΛΕΕ, «είναι ασυμβίβαστη με την εσωτερική αγορά και απαγορεύεται, κατά το μέτρο που δύναται να επηρεάσει το εμπόριο μεταξύ των κρατών μελών, η καταχρηστική εκμετάλλευση από μία ή περισσότερες επιχειρήσεις της δεσπόζουσας θέσης τους εντός της εσωτερικής αγοράς ή σημαντικού τμήματός της.»</w:t>
      </w:r>
    </w:p>
    <w:p w:rsidR="00A1187D" w:rsidRPr="00282692" w:rsidRDefault="00B13131"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Στο πλαίσιο εφαρμογής του άρθρου 102 ΣΛΕΕ, τα ενωσιακά δικαστήρια έχουν χρησιμοποιήσει οικονομικούς όρους με σκοπό την οριοθέτηση της σχετικής αγοράς, τη διαπίστωση της κατοχής δεσπόζουσας θέσης καθώς και τη διαπίστωση κάποιων από τις ενδεικτικά αναφερόμενες στο εν λόγω άρθρο μορφές κατάχρησης δεσπόζουσας θέσης.  </w:t>
      </w:r>
    </w:p>
    <w:p w:rsidR="00B13131" w:rsidRPr="00405B4E" w:rsidRDefault="00B13131" w:rsidP="00282692">
      <w:pPr>
        <w:spacing w:after="0" w:line="240" w:lineRule="auto"/>
        <w:ind w:firstLine="720"/>
        <w:jc w:val="both"/>
        <w:rPr>
          <w:rFonts w:ascii="Times New Roman" w:hAnsi="Times New Roman" w:cs="Times New Roman"/>
          <w:sz w:val="24"/>
          <w:szCs w:val="24"/>
        </w:rPr>
      </w:pPr>
    </w:p>
    <w:p w:rsidR="00B90451" w:rsidRPr="00405B4E" w:rsidRDefault="00B90451" w:rsidP="00282692">
      <w:pPr>
        <w:spacing w:after="0" w:line="240" w:lineRule="auto"/>
        <w:ind w:firstLine="720"/>
        <w:jc w:val="both"/>
        <w:rPr>
          <w:rFonts w:ascii="Times New Roman" w:hAnsi="Times New Roman" w:cs="Times New Roman"/>
          <w:sz w:val="24"/>
          <w:szCs w:val="24"/>
        </w:rPr>
      </w:pPr>
    </w:p>
    <w:p w:rsidR="00724EA6" w:rsidRPr="00282692" w:rsidRDefault="00BC1251" w:rsidP="00282692">
      <w:pPr>
        <w:spacing w:after="0" w:line="240" w:lineRule="auto"/>
        <w:jc w:val="both"/>
        <w:rPr>
          <w:rFonts w:ascii="Times New Roman" w:hAnsi="Times New Roman" w:cs="Times New Roman"/>
          <w:b/>
          <w:sz w:val="24"/>
          <w:szCs w:val="24"/>
        </w:rPr>
      </w:pPr>
      <w:r w:rsidRPr="00282692">
        <w:rPr>
          <w:rFonts w:ascii="Times New Roman" w:hAnsi="Times New Roman" w:cs="Times New Roman"/>
          <w:b/>
          <w:sz w:val="24"/>
          <w:szCs w:val="24"/>
        </w:rPr>
        <w:t>2.</w:t>
      </w:r>
      <w:r w:rsidR="00724EA6" w:rsidRPr="00282692">
        <w:rPr>
          <w:rFonts w:ascii="Times New Roman" w:hAnsi="Times New Roman" w:cs="Times New Roman"/>
          <w:b/>
          <w:sz w:val="24"/>
          <w:szCs w:val="24"/>
        </w:rPr>
        <w:t xml:space="preserve"> Οριοθέτηση της σχετικής αγοράς</w:t>
      </w:r>
    </w:p>
    <w:p w:rsidR="00724EA6" w:rsidRPr="00282692" w:rsidRDefault="00724EA6" w:rsidP="00282692">
      <w:pPr>
        <w:spacing w:after="0" w:line="240" w:lineRule="auto"/>
        <w:jc w:val="both"/>
        <w:rPr>
          <w:rFonts w:ascii="Times New Roman" w:hAnsi="Times New Roman" w:cs="Times New Roman"/>
          <w:b/>
          <w:sz w:val="24"/>
          <w:szCs w:val="24"/>
        </w:rPr>
      </w:pPr>
    </w:p>
    <w:p w:rsidR="00BC1251" w:rsidRPr="00282692" w:rsidRDefault="00BC1251" w:rsidP="00282692">
      <w:pPr>
        <w:spacing w:after="0" w:line="240" w:lineRule="auto"/>
        <w:jc w:val="both"/>
        <w:rPr>
          <w:rFonts w:ascii="Times New Roman" w:hAnsi="Times New Roman" w:cs="Times New Roman"/>
          <w:b/>
          <w:sz w:val="24"/>
          <w:szCs w:val="24"/>
        </w:rPr>
      </w:pPr>
      <w:r w:rsidRPr="00282692">
        <w:rPr>
          <w:rFonts w:ascii="Times New Roman" w:hAnsi="Times New Roman" w:cs="Times New Roman"/>
          <w:b/>
          <w:sz w:val="24"/>
          <w:szCs w:val="24"/>
        </w:rPr>
        <w:t>α) Οριοθέτηση της σχετικής αγοράς προϊόντος ή υπηρεσίας</w:t>
      </w:r>
    </w:p>
    <w:p w:rsidR="00BC1251" w:rsidRPr="00282692" w:rsidRDefault="00BC1251" w:rsidP="00282692">
      <w:pPr>
        <w:spacing w:after="0" w:line="240" w:lineRule="auto"/>
        <w:jc w:val="both"/>
        <w:rPr>
          <w:rFonts w:ascii="Times New Roman" w:hAnsi="Times New Roman" w:cs="Times New Roman"/>
          <w:b/>
          <w:sz w:val="24"/>
          <w:szCs w:val="24"/>
        </w:rPr>
      </w:pPr>
    </w:p>
    <w:p w:rsidR="00BC1251" w:rsidRPr="00282692" w:rsidRDefault="00BC1251" w:rsidP="00282692">
      <w:pPr>
        <w:spacing w:after="0" w:line="240" w:lineRule="auto"/>
        <w:jc w:val="both"/>
        <w:rPr>
          <w:rFonts w:ascii="Times New Roman" w:hAnsi="Times New Roman" w:cs="Times New Roman"/>
          <w:b/>
          <w:sz w:val="24"/>
          <w:szCs w:val="24"/>
        </w:rPr>
      </w:pPr>
      <w:r w:rsidRPr="00282692">
        <w:rPr>
          <w:rFonts w:ascii="Times New Roman" w:hAnsi="Times New Roman" w:cs="Times New Roman"/>
          <w:b/>
          <w:sz w:val="24"/>
          <w:szCs w:val="24"/>
          <w:lang w:val="en-US"/>
        </w:rPr>
        <w:t>i</w:t>
      </w:r>
      <w:r w:rsidRPr="00282692">
        <w:rPr>
          <w:rFonts w:ascii="Times New Roman" w:hAnsi="Times New Roman" w:cs="Times New Roman"/>
          <w:b/>
          <w:sz w:val="24"/>
          <w:szCs w:val="24"/>
        </w:rPr>
        <w:t>) Εισαγωγικά</w:t>
      </w:r>
    </w:p>
    <w:p w:rsidR="00BC1251" w:rsidRPr="00282692" w:rsidRDefault="00BC1251" w:rsidP="00282692">
      <w:pPr>
        <w:spacing w:after="0" w:line="240" w:lineRule="auto"/>
        <w:ind w:firstLine="720"/>
        <w:jc w:val="both"/>
        <w:rPr>
          <w:rFonts w:ascii="Times New Roman" w:hAnsi="Times New Roman" w:cs="Times New Roman"/>
          <w:sz w:val="24"/>
          <w:szCs w:val="24"/>
        </w:rPr>
      </w:pPr>
    </w:p>
    <w:p w:rsidR="006A0A22" w:rsidRPr="00282692" w:rsidRDefault="00724EA6"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Στην πρώιμη νομολογία του ΔΕΕ, το Δικαστήριο ήταν διστακτικό στη χρήση τεχνικών και λεπτομερειακών μεθόδων για την οριοθέτηση της σχετικής αγοράς σε υποθέσεις σχετικές με την εφαρμογή του άρθρου 86 ΣυνθΕΟΚ</w:t>
      </w:r>
      <w:r w:rsidR="00B13131" w:rsidRPr="00282692">
        <w:rPr>
          <w:rFonts w:ascii="Times New Roman" w:hAnsi="Times New Roman" w:cs="Times New Roman"/>
          <w:sz w:val="24"/>
          <w:szCs w:val="24"/>
        </w:rPr>
        <w:t xml:space="preserve"> (ήδη άρθρου 102 ΣΛΕΕ). Πιο συγκεκριμένα, </w:t>
      </w:r>
      <w:r w:rsidR="007C7B96" w:rsidRPr="00282692">
        <w:rPr>
          <w:rFonts w:ascii="Times New Roman" w:hAnsi="Times New Roman" w:cs="Times New Roman"/>
          <w:sz w:val="24"/>
          <w:szCs w:val="24"/>
        </w:rPr>
        <w:t>σε σχέση με την οριοθέτηση της σχετικής αγοράς προϊόντος ή υπηρεσίας,</w:t>
      </w:r>
      <w:r w:rsidR="00B13131" w:rsidRPr="00282692">
        <w:rPr>
          <w:rFonts w:ascii="Times New Roman" w:hAnsi="Times New Roman" w:cs="Times New Roman"/>
          <w:sz w:val="24"/>
          <w:szCs w:val="24"/>
        </w:rPr>
        <w:t xml:space="preserve"> στις πρώτες αποφάσεις του</w:t>
      </w:r>
      <w:r w:rsidR="004C4455" w:rsidRPr="00282692">
        <w:rPr>
          <w:rFonts w:ascii="Times New Roman" w:hAnsi="Times New Roman" w:cs="Times New Roman"/>
          <w:sz w:val="24"/>
          <w:szCs w:val="24"/>
        </w:rPr>
        <w:tab/>
        <w:t xml:space="preserve">Δικαστηρίου, η δυνατότητα υποκατάστασης από την πλευρά της ζήτησης δεν εξετάστηκε λεπτομερειακά με χρήση οικονομικών μεθόδων. </w:t>
      </w:r>
      <w:r w:rsidR="006A0A22" w:rsidRPr="00282692">
        <w:rPr>
          <w:rFonts w:ascii="Times New Roman" w:hAnsi="Times New Roman" w:cs="Times New Roman"/>
          <w:sz w:val="24"/>
          <w:szCs w:val="24"/>
        </w:rPr>
        <w:t>Αντίθετα, η έμφαση δόθηκε στη δυνατότητα υποκατάστασης από την πλευρά της προσφοράς, η οποία εξετάστηκε στις παραπάνω αποφάσεις άλλοτε περισσότερο και άλλοτε λιγότερο με τη χρήση οικονομικών μεθόδων.</w:t>
      </w:r>
    </w:p>
    <w:p w:rsidR="00BC1251" w:rsidRPr="00282692" w:rsidRDefault="00BC1251" w:rsidP="00282692">
      <w:pPr>
        <w:spacing w:after="0" w:line="240" w:lineRule="auto"/>
        <w:jc w:val="both"/>
        <w:rPr>
          <w:rFonts w:ascii="Times New Roman" w:hAnsi="Times New Roman" w:cs="Times New Roman"/>
          <w:sz w:val="24"/>
          <w:szCs w:val="24"/>
        </w:rPr>
      </w:pPr>
    </w:p>
    <w:p w:rsidR="00BC1251" w:rsidRPr="00282692" w:rsidRDefault="00BC1251" w:rsidP="00282692">
      <w:pPr>
        <w:spacing w:after="0" w:line="240" w:lineRule="auto"/>
        <w:jc w:val="both"/>
        <w:rPr>
          <w:rFonts w:ascii="Times New Roman" w:hAnsi="Times New Roman" w:cs="Times New Roman"/>
          <w:b/>
          <w:sz w:val="24"/>
          <w:szCs w:val="24"/>
        </w:rPr>
      </w:pPr>
      <w:r w:rsidRPr="00282692">
        <w:rPr>
          <w:rFonts w:ascii="Times New Roman" w:hAnsi="Times New Roman" w:cs="Times New Roman"/>
          <w:b/>
          <w:sz w:val="24"/>
          <w:szCs w:val="24"/>
          <w:lang w:val="en-US"/>
        </w:rPr>
        <w:t>ii</w:t>
      </w:r>
      <w:r w:rsidRPr="00282692">
        <w:rPr>
          <w:rFonts w:ascii="Times New Roman" w:hAnsi="Times New Roman" w:cs="Times New Roman"/>
          <w:b/>
          <w:sz w:val="24"/>
          <w:szCs w:val="24"/>
        </w:rPr>
        <w:t>) Εκτίμηση της δυνατότητας υποκατάστασης από την πλευρά της ζήτησης</w:t>
      </w:r>
    </w:p>
    <w:p w:rsidR="00BC1251" w:rsidRPr="00282692" w:rsidRDefault="00BC1251" w:rsidP="00282692">
      <w:pPr>
        <w:spacing w:after="0" w:line="240" w:lineRule="auto"/>
        <w:ind w:firstLine="720"/>
        <w:jc w:val="both"/>
        <w:rPr>
          <w:rFonts w:ascii="Times New Roman" w:hAnsi="Times New Roman" w:cs="Times New Roman"/>
          <w:sz w:val="24"/>
          <w:szCs w:val="24"/>
        </w:rPr>
      </w:pPr>
    </w:p>
    <w:p w:rsidR="0027721A" w:rsidRPr="00282692" w:rsidRDefault="004C4455"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Ειδικότερα, ό</w:t>
      </w:r>
      <w:r w:rsidR="006A0A22" w:rsidRPr="00282692">
        <w:rPr>
          <w:rFonts w:ascii="Times New Roman" w:hAnsi="Times New Roman" w:cs="Times New Roman"/>
          <w:sz w:val="24"/>
          <w:szCs w:val="24"/>
        </w:rPr>
        <w:t xml:space="preserve">σον αφορά τη δυνατότητα υποκατάστασης από την πλευρά της ζήτησης, </w:t>
      </w:r>
      <w:r w:rsidR="006A0A22" w:rsidRPr="00F17B4A">
        <w:rPr>
          <w:rFonts w:ascii="Times New Roman" w:hAnsi="Times New Roman" w:cs="Times New Roman"/>
          <w:b/>
          <w:sz w:val="24"/>
          <w:szCs w:val="24"/>
          <w:u w:val="single"/>
        </w:rPr>
        <w:t>είναι εμφανές ότι στις πρώτες αποφάσεις του το Δικαστήριο έδωσε έμφαση στ</w:t>
      </w:r>
      <w:r w:rsidR="00F40874" w:rsidRPr="00F17B4A">
        <w:rPr>
          <w:rFonts w:ascii="Times New Roman" w:hAnsi="Times New Roman" w:cs="Times New Roman"/>
          <w:b/>
          <w:sz w:val="24"/>
          <w:szCs w:val="24"/>
          <w:u w:val="single"/>
        </w:rPr>
        <w:t>η χρήση ποιοτικών κριτηρίων</w:t>
      </w:r>
      <w:r w:rsidR="00F40874" w:rsidRPr="00282692">
        <w:rPr>
          <w:rFonts w:ascii="Times New Roman" w:hAnsi="Times New Roman" w:cs="Times New Roman"/>
          <w:sz w:val="24"/>
          <w:szCs w:val="24"/>
        </w:rPr>
        <w:t>.</w:t>
      </w:r>
      <w:r w:rsidRPr="00282692">
        <w:rPr>
          <w:rFonts w:ascii="Times New Roman" w:hAnsi="Times New Roman" w:cs="Times New Roman"/>
          <w:sz w:val="24"/>
          <w:szCs w:val="24"/>
        </w:rPr>
        <w:t xml:space="preserve"> Έτσι, σ</w:t>
      </w:r>
      <w:r w:rsidR="00F40874" w:rsidRPr="00282692">
        <w:rPr>
          <w:rFonts w:ascii="Times New Roman" w:hAnsi="Times New Roman" w:cs="Times New Roman"/>
          <w:sz w:val="24"/>
          <w:szCs w:val="24"/>
        </w:rPr>
        <w:t xml:space="preserve">την απόφαση </w:t>
      </w:r>
      <w:r w:rsidR="00EC3C34" w:rsidRPr="00282692">
        <w:rPr>
          <w:rFonts w:ascii="Times New Roman" w:hAnsi="Times New Roman" w:cs="Times New Roman"/>
          <w:i/>
          <w:sz w:val="24"/>
          <w:szCs w:val="24"/>
          <w:lang w:val="en-US"/>
        </w:rPr>
        <w:t>UnitedBrands</w:t>
      </w:r>
      <w:r w:rsidR="00EC3C34" w:rsidRPr="00282692">
        <w:rPr>
          <w:rFonts w:ascii="Times New Roman" w:hAnsi="Times New Roman" w:cs="Times New Roman"/>
          <w:sz w:val="24"/>
          <w:szCs w:val="24"/>
        </w:rPr>
        <w:t xml:space="preserve">, το Δικαστήριο, ακολουθώντας την προσέγγιση της Ευρωπαϊκής Επιτροπής, έλαβε υπόψη τα </w:t>
      </w:r>
      <w:r w:rsidR="0027721A" w:rsidRPr="00282692">
        <w:rPr>
          <w:rFonts w:ascii="Times New Roman" w:hAnsi="Times New Roman" w:cs="Times New Roman"/>
          <w:sz w:val="24"/>
          <w:szCs w:val="24"/>
        </w:rPr>
        <w:t>φυσικά</w:t>
      </w:r>
      <w:r w:rsidR="00EC3C34" w:rsidRPr="00282692">
        <w:rPr>
          <w:rFonts w:ascii="Times New Roman" w:hAnsi="Times New Roman" w:cs="Times New Roman"/>
          <w:sz w:val="24"/>
          <w:szCs w:val="24"/>
        </w:rPr>
        <w:t xml:space="preserve"> χαρακτηριστικά του επίμαχου προϊόντος και την</w:t>
      </w:r>
      <w:r w:rsidR="0027721A" w:rsidRPr="00282692">
        <w:rPr>
          <w:rFonts w:ascii="Times New Roman" w:hAnsi="Times New Roman" w:cs="Times New Roman"/>
          <w:sz w:val="24"/>
          <w:szCs w:val="24"/>
        </w:rPr>
        <w:t xml:space="preserve"> πιθανή επίδραση που ασκούσαν τα χαρακτηριστικά αυτά στην αγοραστική συμπεριφορά του καταναλωτή.</w:t>
      </w:r>
      <w:r w:rsidR="00A80A6F" w:rsidRPr="00282692">
        <w:rPr>
          <w:rFonts w:ascii="Times New Roman" w:hAnsi="Times New Roman" w:cs="Times New Roman"/>
          <w:sz w:val="24"/>
          <w:szCs w:val="24"/>
        </w:rPr>
        <w:t xml:space="preserve">Πιο συγκεκριμένα, στηριζόμενο </w:t>
      </w:r>
      <w:r w:rsidR="0027721A" w:rsidRPr="00282692">
        <w:rPr>
          <w:rFonts w:ascii="Times New Roman" w:hAnsi="Times New Roman" w:cs="Times New Roman"/>
          <w:sz w:val="24"/>
          <w:szCs w:val="24"/>
        </w:rPr>
        <w:t>στα φυσικά χαρακτηριστικά της μπανάνας (γεύση, νωπή οπώρα) και στο γεγονός ότι η μπανάνα</w:t>
      </w:r>
      <w:r w:rsidR="00A80A6F" w:rsidRPr="00282692">
        <w:rPr>
          <w:rFonts w:ascii="Times New Roman" w:hAnsi="Times New Roman" w:cs="Times New Roman"/>
          <w:sz w:val="24"/>
          <w:szCs w:val="24"/>
        </w:rPr>
        <w:t xml:space="preserve"> είναι διαθέσιμη καθ’ όλη τη διάρκεια του έτους και σε επαρκείς ποσότητες, το Δικαστήριο οδηγήθηκε στο συμπέρασμα ότι </w:t>
      </w:r>
      <w:r w:rsidR="0027721A" w:rsidRPr="00282692">
        <w:rPr>
          <w:rFonts w:ascii="Times New Roman" w:hAnsi="Times New Roman" w:cs="Times New Roman"/>
          <w:sz w:val="24"/>
          <w:szCs w:val="24"/>
        </w:rPr>
        <w:t>δεν υπάρχει κάποιο φρούτο που θα μπορούσε να λειτουργήσει ως υποκατάστατο καθ’ όλη τη διάρκεια του χρόνου</w:t>
      </w:r>
      <w:r w:rsidR="00A80A6F" w:rsidRPr="00282692">
        <w:rPr>
          <w:rStyle w:val="FootnoteReference"/>
          <w:rFonts w:ascii="Times New Roman" w:hAnsi="Times New Roman" w:cs="Times New Roman"/>
          <w:sz w:val="24"/>
          <w:szCs w:val="24"/>
        </w:rPr>
        <w:footnoteReference w:id="39"/>
      </w:r>
      <w:r w:rsidR="00A80A6F" w:rsidRPr="00282692">
        <w:rPr>
          <w:rFonts w:ascii="Times New Roman" w:hAnsi="Times New Roman" w:cs="Times New Roman"/>
          <w:sz w:val="24"/>
          <w:szCs w:val="24"/>
        </w:rPr>
        <w:t xml:space="preserve">. Αντίθετα, το Δικαστήριο δεν έλαβε υπόψη την πραγματική ικανότητα της επίμαχης επιχείρησης να επηρεάζει τις </w:t>
      </w:r>
      <w:r w:rsidR="00A80A6F" w:rsidRPr="00282692">
        <w:rPr>
          <w:rFonts w:ascii="Times New Roman" w:hAnsi="Times New Roman" w:cs="Times New Roman"/>
          <w:sz w:val="24"/>
          <w:szCs w:val="24"/>
        </w:rPr>
        <w:lastRenderedPageBreak/>
        <w:t>τιμές ή ποσοτικά κριτήρια όπως η ελαστικότητα της τιμής</w:t>
      </w:r>
      <w:r w:rsidR="00B10934" w:rsidRPr="00282692">
        <w:rPr>
          <w:rFonts w:ascii="Times New Roman" w:hAnsi="Times New Roman" w:cs="Times New Roman"/>
          <w:sz w:val="24"/>
          <w:szCs w:val="24"/>
        </w:rPr>
        <w:t>, διαφορές μεταξύ των τιμών κλπ.</w:t>
      </w:r>
      <w:r w:rsidR="00281110" w:rsidRPr="00282692">
        <w:rPr>
          <w:rFonts w:ascii="Times New Roman" w:hAnsi="Times New Roman" w:cs="Times New Roman"/>
          <w:sz w:val="24"/>
          <w:szCs w:val="24"/>
        </w:rPr>
        <w:t xml:space="preserve"> Μεταξύ των επικρίσεων που διατυπώθηκαν για το αποτέλεσμα της απόφασης </w:t>
      </w:r>
      <w:r w:rsidR="00281110" w:rsidRPr="00282692">
        <w:rPr>
          <w:rFonts w:ascii="Times New Roman" w:hAnsi="Times New Roman" w:cs="Times New Roman"/>
          <w:i/>
          <w:sz w:val="24"/>
          <w:szCs w:val="24"/>
          <w:lang w:val="en-US"/>
        </w:rPr>
        <w:t>UnitedBrands</w:t>
      </w:r>
      <w:r w:rsidR="00281110" w:rsidRPr="00282692">
        <w:rPr>
          <w:rFonts w:ascii="Times New Roman" w:hAnsi="Times New Roman" w:cs="Times New Roman"/>
          <w:sz w:val="24"/>
          <w:szCs w:val="24"/>
        </w:rPr>
        <w:t xml:space="preserve"> ήταν και ότι η σχετική αγορά οριοθετήθηκε </w:t>
      </w:r>
      <w:r w:rsidR="0027721A" w:rsidRPr="00282692">
        <w:rPr>
          <w:rFonts w:ascii="Times New Roman" w:hAnsi="Times New Roman" w:cs="Times New Roman"/>
          <w:sz w:val="24"/>
          <w:szCs w:val="24"/>
        </w:rPr>
        <w:t>σκόπιμα με τον τρόπο που περιγράφηκε</w:t>
      </w:r>
      <w:r w:rsidR="00281110" w:rsidRPr="00282692">
        <w:rPr>
          <w:rFonts w:ascii="Times New Roman" w:hAnsi="Times New Roman" w:cs="Times New Roman"/>
          <w:sz w:val="24"/>
          <w:szCs w:val="24"/>
        </w:rPr>
        <w:t>ώστε να καταστεί δυνατό να καταφαθεί η δεσπόζουσα θέση της επίμαχης εταιρείας</w:t>
      </w:r>
      <w:r w:rsidRPr="00282692">
        <w:rPr>
          <w:rStyle w:val="FootnoteReference"/>
          <w:rFonts w:ascii="Times New Roman" w:hAnsi="Times New Roman" w:cs="Times New Roman"/>
          <w:sz w:val="24"/>
          <w:szCs w:val="24"/>
        </w:rPr>
        <w:footnoteReference w:id="40"/>
      </w:r>
      <w:r w:rsidR="00281110" w:rsidRPr="00282692">
        <w:rPr>
          <w:rFonts w:ascii="Times New Roman" w:hAnsi="Times New Roman" w:cs="Times New Roman"/>
          <w:sz w:val="24"/>
          <w:szCs w:val="24"/>
        </w:rPr>
        <w:t>.</w:t>
      </w:r>
    </w:p>
    <w:p w:rsidR="00281110" w:rsidRPr="00282692" w:rsidRDefault="00B10934"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Παρόμοια προσέγγιση υιοθετήθηκε περίπου 10 χρόνια αργότερα στην απόφαση </w:t>
      </w:r>
      <w:proofErr w:type="spellStart"/>
      <w:r w:rsidRPr="00282692">
        <w:rPr>
          <w:rFonts w:ascii="Times New Roman" w:hAnsi="Times New Roman" w:cs="Times New Roman"/>
          <w:i/>
          <w:sz w:val="24"/>
          <w:szCs w:val="24"/>
          <w:lang w:val="en-US"/>
        </w:rPr>
        <w:t>Hilti</w:t>
      </w:r>
      <w:proofErr w:type="spellEnd"/>
      <w:r w:rsidR="00D23DCC" w:rsidRPr="00282692">
        <w:rPr>
          <w:rStyle w:val="FootnoteReference"/>
          <w:rFonts w:ascii="Times New Roman" w:hAnsi="Times New Roman" w:cs="Times New Roman"/>
          <w:sz w:val="24"/>
          <w:szCs w:val="24"/>
          <w:lang w:val="en-US"/>
        </w:rPr>
        <w:footnoteReference w:id="41"/>
      </w:r>
      <w:r w:rsidRPr="00282692">
        <w:rPr>
          <w:rFonts w:ascii="Times New Roman" w:hAnsi="Times New Roman" w:cs="Times New Roman"/>
          <w:sz w:val="24"/>
          <w:szCs w:val="24"/>
        </w:rPr>
        <w:t>, όπου το Γενικό Δικαστήριο παρατήρησε ότι «η Επιτροπή δικαιολογημέναστήριξε τα συμπεράσματά της σε σκέψεις που ελάμβαναν υπόψη τα ποιοτικά χαρακτηριστικά των σχετικών προϊόντων.»</w:t>
      </w:r>
      <w:r w:rsidRPr="00282692">
        <w:rPr>
          <w:rStyle w:val="FootnoteReference"/>
          <w:rFonts w:ascii="Times New Roman" w:hAnsi="Times New Roman" w:cs="Times New Roman"/>
          <w:sz w:val="24"/>
          <w:szCs w:val="24"/>
        </w:rPr>
        <w:footnoteReference w:id="42"/>
      </w:r>
      <w:r w:rsidR="00D23DCC" w:rsidRPr="00282692">
        <w:rPr>
          <w:rFonts w:ascii="Times New Roman" w:hAnsi="Times New Roman" w:cs="Times New Roman"/>
          <w:sz w:val="24"/>
          <w:szCs w:val="24"/>
        </w:rPr>
        <w:t>Κατά την άποψη</w:t>
      </w:r>
      <w:r w:rsidRPr="00282692">
        <w:rPr>
          <w:rFonts w:ascii="Times New Roman" w:hAnsi="Times New Roman" w:cs="Times New Roman"/>
          <w:sz w:val="24"/>
          <w:szCs w:val="24"/>
        </w:rPr>
        <w:t xml:space="preserve"> το</w:t>
      </w:r>
      <w:r w:rsidR="00D23DCC" w:rsidRPr="00282692">
        <w:rPr>
          <w:rFonts w:ascii="Times New Roman" w:hAnsi="Times New Roman" w:cs="Times New Roman"/>
          <w:sz w:val="24"/>
          <w:szCs w:val="24"/>
        </w:rPr>
        <w:t>υ</w:t>
      </w:r>
      <w:r w:rsidRPr="00282692">
        <w:rPr>
          <w:rFonts w:ascii="Times New Roman" w:hAnsi="Times New Roman" w:cs="Times New Roman"/>
          <w:sz w:val="24"/>
          <w:szCs w:val="24"/>
        </w:rPr>
        <w:t xml:space="preserve"> Γενικ</w:t>
      </w:r>
      <w:r w:rsidR="00D23DCC" w:rsidRPr="00282692">
        <w:rPr>
          <w:rFonts w:ascii="Times New Roman" w:hAnsi="Times New Roman" w:cs="Times New Roman"/>
          <w:sz w:val="24"/>
          <w:szCs w:val="24"/>
        </w:rPr>
        <w:t>ούΔικαστηρίου, στην</w:t>
      </w:r>
      <w:r w:rsidRPr="00282692">
        <w:rPr>
          <w:rFonts w:ascii="Times New Roman" w:hAnsi="Times New Roman" w:cs="Times New Roman"/>
          <w:sz w:val="24"/>
          <w:szCs w:val="24"/>
        </w:rPr>
        <w:t xml:space="preserve"> υπόθεση</w:t>
      </w:r>
      <w:proofErr w:type="spellStart"/>
      <w:r w:rsidR="00D23DCC" w:rsidRPr="00282692">
        <w:rPr>
          <w:rFonts w:ascii="Times New Roman" w:hAnsi="Times New Roman" w:cs="Times New Roman"/>
          <w:i/>
          <w:sz w:val="24"/>
          <w:szCs w:val="24"/>
          <w:lang w:val="en-US"/>
        </w:rPr>
        <w:t>Hilti</w:t>
      </w:r>
      <w:proofErr w:type="spellEnd"/>
      <w:r w:rsidR="008312E8">
        <w:rPr>
          <w:rFonts w:ascii="Times New Roman" w:hAnsi="Times New Roman" w:cs="Times New Roman"/>
          <w:sz w:val="24"/>
          <w:szCs w:val="24"/>
        </w:rPr>
        <w:t xml:space="preserve"> υπήρχαν τρεις διακριτές</w:t>
      </w:r>
      <w:r w:rsidRPr="00282692">
        <w:rPr>
          <w:rFonts w:ascii="Times New Roman" w:hAnsi="Times New Roman" w:cs="Times New Roman"/>
          <w:sz w:val="24"/>
          <w:szCs w:val="24"/>
        </w:rPr>
        <w:t xml:space="preserve"> αγορές προϊόντων (αγορά πιστολιών καρφώματος, αγορά καρφιών και αγορά δεσμίδων φυσιγγίων για τα πιστόλια καρφώματος), επειδή «οι δεσμίδες φυσιγγίων και τα καρφιά κατασκευάζονται ειδικά και αγοράζονται από τους χρήστες για έναν τύπο πιστολιών»</w:t>
      </w:r>
      <w:r w:rsidRPr="00282692">
        <w:rPr>
          <w:rStyle w:val="FootnoteReference"/>
          <w:rFonts w:ascii="Times New Roman" w:hAnsi="Times New Roman" w:cs="Times New Roman"/>
          <w:sz w:val="24"/>
          <w:szCs w:val="24"/>
        </w:rPr>
        <w:footnoteReference w:id="43"/>
      </w:r>
      <w:r w:rsidRPr="00282692">
        <w:rPr>
          <w:rFonts w:ascii="Times New Roman" w:hAnsi="Times New Roman" w:cs="Times New Roman"/>
          <w:sz w:val="24"/>
          <w:szCs w:val="24"/>
        </w:rPr>
        <w:t xml:space="preserve">. </w:t>
      </w:r>
      <w:r w:rsidR="00281110" w:rsidRPr="00282692">
        <w:rPr>
          <w:rFonts w:ascii="Times New Roman" w:hAnsi="Times New Roman" w:cs="Times New Roman"/>
          <w:sz w:val="24"/>
          <w:szCs w:val="24"/>
        </w:rPr>
        <w:t xml:space="preserve">Το Γενικό Δικαστήριο δεν διαφοροποιήθηκε από την προσέγγιση της Επιτροπής </w:t>
      </w:r>
      <w:r w:rsidR="00E36110" w:rsidRPr="00282692">
        <w:rPr>
          <w:rFonts w:ascii="Times New Roman" w:hAnsi="Times New Roman" w:cs="Times New Roman"/>
          <w:sz w:val="24"/>
          <w:szCs w:val="24"/>
        </w:rPr>
        <w:t>παρά τις εξειδικευμένες οικονομικές έρευνες και την οικονομετρική ανάλυση που του προσκομίστηκαν</w:t>
      </w:r>
      <w:r w:rsidR="00281110" w:rsidRPr="00282692">
        <w:rPr>
          <w:rStyle w:val="FootnoteReference"/>
          <w:rFonts w:ascii="Times New Roman" w:hAnsi="Times New Roman" w:cs="Times New Roman"/>
          <w:sz w:val="24"/>
          <w:szCs w:val="24"/>
        </w:rPr>
        <w:footnoteReference w:id="44"/>
      </w:r>
      <w:r w:rsidR="00281110" w:rsidRPr="00282692">
        <w:rPr>
          <w:rFonts w:ascii="Times New Roman" w:hAnsi="Times New Roman" w:cs="Times New Roman"/>
          <w:sz w:val="24"/>
          <w:szCs w:val="24"/>
        </w:rPr>
        <w:t xml:space="preserve">.Οι σχετικές με την οριοθέτηση της σχετικής αγοράς διαπιστώσεις της απόφασης </w:t>
      </w:r>
      <w:proofErr w:type="spellStart"/>
      <w:r w:rsidR="00281110" w:rsidRPr="00282692">
        <w:rPr>
          <w:rFonts w:ascii="Times New Roman" w:hAnsi="Times New Roman" w:cs="Times New Roman"/>
          <w:i/>
          <w:sz w:val="24"/>
          <w:szCs w:val="24"/>
          <w:lang w:val="en-US"/>
        </w:rPr>
        <w:t>Hilti</w:t>
      </w:r>
      <w:proofErr w:type="spellEnd"/>
      <w:r w:rsidR="00281110" w:rsidRPr="00282692">
        <w:rPr>
          <w:rFonts w:ascii="Times New Roman" w:hAnsi="Times New Roman" w:cs="Times New Roman"/>
          <w:sz w:val="24"/>
          <w:szCs w:val="24"/>
        </w:rPr>
        <w:t xml:space="preserve"> επικρίθηκαν με το επιχείρημα ότι οδήγησαν σε υπερβολικά σ</w:t>
      </w:r>
      <w:r w:rsidR="00E36110" w:rsidRPr="00282692">
        <w:rPr>
          <w:rFonts w:ascii="Times New Roman" w:hAnsi="Times New Roman" w:cs="Times New Roman"/>
          <w:sz w:val="24"/>
          <w:szCs w:val="24"/>
        </w:rPr>
        <w:t>τενή οριοθέτηση, χωρίς να ληφθούν υπόψη οι</w:t>
      </w:r>
      <w:r w:rsidR="00281110" w:rsidRPr="00282692">
        <w:rPr>
          <w:rFonts w:ascii="Times New Roman" w:hAnsi="Times New Roman" w:cs="Times New Roman"/>
          <w:sz w:val="24"/>
          <w:szCs w:val="24"/>
        </w:rPr>
        <w:t xml:space="preserve"> μεταβολές των τιμών συστημάτων συνδέσμων διαφορετικών από τα πιστόλια καρφώματος</w:t>
      </w:r>
      <w:r w:rsidR="00D23DCC" w:rsidRPr="00282692">
        <w:rPr>
          <w:rStyle w:val="FootnoteReference"/>
          <w:rFonts w:ascii="Times New Roman" w:hAnsi="Times New Roman" w:cs="Times New Roman"/>
          <w:sz w:val="24"/>
          <w:szCs w:val="24"/>
        </w:rPr>
        <w:footnoteReference w:id="45"/>
      </w:r>
      <w:r w:rsidR="00281110" w:rsidRPr="00282692">
        <w:rPr>
          <w:rFonts w:ascii="Times New Roman" w:hAnsi="Times New Roman" w:cs="Times New Roman"/>
          <w:sz w:val="24"/>
          <w:szCs w:val="24"/>
        </w:rPr>
        <w:t>.</w:t>
      </w:r>
    </w:p>
    <w:p w:rsidR="00B80380" w:rsidRPr="00282692" w:rsidRDefault="00281110"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Στην απόφαση </w:t>
      </w:r>
      <w:proofErr w:type="spellStart"/>
      <w:r w:rsidRPr="00282692">
        <w:rPr>
          <w:rFonts w:ascii="Times New Roman" w:hAnsi="Times New Roman" w:cs="Times New Roman"/>
          <w:i/>
          <w:sz w:val="24"/>
          <w:szCs w:val="24"/>
          <w:lang w:val="en-US"/>
        </w:rPr>
        <w:t>Wanadoo</w:t>
      </w:r>
      <w:proofErr w:type="spellEnd"/>
      <w:r w:rsidR="001B382D" w:rsidRPr="00282692">
        <w:rPr>
          <w:rStyle w:val="FootnoteReference"/>
          <w:rFonts w:ascii="Times New Roman" w:hAnsi="Times New Roman" w:cs="Times New Roman"/>
          <w:sz w:val="24"/>
          <w:szCs w:val="24"/>
        </w:rPr>
        <w:footnoteReference w:id="46"/>
      </w:r>
      <w:r w:rsidRPr="00282692">
        <w:rPr>
          <w:rFonts w:ascii="Times New Roman" w:hAnsi="Times New Roman" w:cs="Times New Roman"/>
          <w:sz w:val="24"/>
          <w:szCs w:val="24"/>
        </w:rPr>
        <w:t xml:space="preserve">, το Γενικό Δικαστήριο </w:t>
      </w:r>
      <w:r w:rsidR="001B382D" w:rsidRPr="00282692">
        <w:rPr>
          <w:rFonts w:ascii="Times New Roman" w:hAnsi="Times New Roman" w:cs="Times New Roman"/>
          <w:sz w:val="24"/>
          <w:szCs w:val="24"/>
        </w:rPr>
        <w:t>επικύρωσε</w:t>
      </w:r>
      <w:r w:rsidR="00E36FB6" w:rsidRPr="00282692">
        <w:rPr>
          <w:rFonts w:ascii="Times New Roman" w:hAnsi="Times New Roman" w:cs="Times New Roman"/>
          <w:sz w:val="24"/>
          <w:szCs w:val="24"/>
        </w:rPr>
        <w:t xml:space="preserve"> την ανάλυση της Επιτροπής σχετικά με τη δυνατότητα υποκατάστασης από την πλευρά της ζήτησης. </w:t>
      </w:r>
      <w:r w:rsidR="003279F4" w:rsidRPr="00282692">
        <w:rPr>
          <w:rFonts w:ascii="Times New Roman" w:hAnsi="Times New Roman" w:cs="Times New Roman"/>
          <w:sz w:val="24"/>
          <w:szCs w:val="24"/>
        </w:rPr>
        <w:t>Το ερώτημα που ανέκυψε συναφώς ήταν αν η προμήθεια πρόσβασης υψηλής ταχύτητας στο Διαδίκτυο ανήκει στην ίδια σχετική αγορά με την προμήθεια πρόσβασης χαμηλής ταχύτητας</w:t>
      </w:r>
      <w:r w:rsidR="001B382D" w:rsidRPr="00282692">
        <w:rPr>
          <w:rFonts w:ascii="Times New Roman" w:hAnsi="Times New Roman" w:cs="Times New Roman"/>
          <w:sz w:val="24"/>
          <w:szCs w:val="24"/>
        </w:rPr>
        <w:t xml:space="preserve"> στο Διαδίκτυο</w:t>
      </w:r>
      <w:r w:rsidR="003279F4" w:rsidRPr="00282692">
        <w:rPr>
          <w:rFonts w:ascii="Times New Roman" w:hAnsi="Times New Roman" w:cs="Times New Roman"/>
          <w:sz w:val="24"/>
          <w:szCs w:val="24"/>
        </w:rPr>
        <w:t xml:space="preserve">. Με βάση το τεστ </w:t>
      </w:r>
      <w:r w:rsidR="003279F4" w:rsidRPr="00282692">
        <w:rPr>
          <w:rFonts w:ascii="Times New Roman" w:hAnsi="Times New Roman" w:cs="Times New Roman"/>
          <w:sz w:val="24"/>
          <w:szCs w:val="24"/>
          <w:lang w:val="en-US"/>
        </w:rPr>
        <w:t>SSNIP</w:t>
      </w:r>
      <w:r w:rsidR="00CF1614" w:rsidRPr="00282692">
        <w:rPr>
          <w:rStyle w:val="FootnoteReference"/>
          <w:rFonts w:ascii="Times New Roman" w:hAnsi="Times New Roman" w:cs="Times New Roman"/>
          <w:sz w:val="24"/>
          <w:szCs w:val="24"/>
          <w:lang w:val="en-US"/>
        </w:rPr>
        <w:footnoteReference w:id="47"/>
      </w:r>
      <w:r w:rsidR="003279F4" w:rsidRPr="00282692">
        <w:rPr>
          <w:rFonts w:ascii="Times New Roman" w:hAnsi="Times New Roman" w:cs="Times New Roman"/>
          <w:sz w:val="24"/>
          <w:szCs w:val="24"/>
        </w:rPr>
        <w:t>, διαπιστώθηκε ότι η δυνατότητα υποκατάστασης μεταξύ των δύο αυτών ειδών υπηρεσιών χαρακτηρίζεται από «εξαιρετική ασυμμετρία», καθώς η μετάβαση των πελατών από προσφορές υψηλής ταχύτητας σε προσφορές χαμηλής ταχύτητας είναι ελάχιστη σε σχέση με την αντίστροφη μετάβαση</w:t>
      </w:r>
      <w:r w:rsidR="001B382D" w:rsidRPr="00282692">
        <w:rPr>
          <w:rStyle w:val="FootnoteReference"/>
          <w:rFonts w:ascii="Times New Roman" w:hAnsi="Times New Roman" w:cs="Times New Roman"/>
          <w:sz w:val="24"/>
          <w:szCs w:val="24"/>
        </w:rPr>
        <w:footnoteReference w:id="48"/>
      </w:r>
      <w:r w:rsidR="003279F4" w:rsidRPr="00282692">
        <w:rPr>
          <w:rFonts w:ascii="Times New Roman" w:hAnsi="Times New Roman" w:cs="Times New Roman"/>
          <w:sz w:val="24"/>
          <w:szCs w:val="24"/>
        </w:rPr>
        <w:t>. Το Γενικό Δικαστήριο έκανε</w:t>
      </w:r>
      <w:r w:rsidR="00B80380" w:rsidRPr="00282692">
        <w:rPr>
          <w:rFonts w:ascii="Times New Roman" w:hAnsi="Times New Roman" w:cs="Times New Roman"/>
          <w:sz w:val="24"/>
          <w:szCs w:val="24"/>
        </w:rPr>
        <w:t xml:space="preserve"> επίσης</w:t>
      </w:r>
      <w:r w:rsidR="003279F4" w:rsidRPr="00282692">
        <w:rPr>
          <w:rFonts w:ascii="Times New Roman" w:hAnsi="Times New Roman" w:cs="Times New Roman"/>
          <w:sz w:val="24"/>
          <w:szCs w:val="24"/>
        </w:rPr>
        <w:t xml:space="preserve"> αποδεκτό το αποτέλεσμα του </w:t>
      </w:r>
      <w:r w:rsidR="003279F4" w:rsidRPr="00282692">
        <w:rPr>
          <w:rFonts w:ascii="Times New Roman" w:hAnsi="Times New Roman" w:cs="Times New Roman"/>
          <w:sz w:val="24"/>
          <w:szCs w:val="24"/>
          <w:lang w:val="en-US"/>
        </w:rPr>
        <w:t>SSNIP</w:t>
      </w:r>
      <w:r w:rsidR="003279F4" w:rsidRPr="00282692">
        <w:rPr>
          <w:rFonts w:ascii="Times New Roman" w:hAnsi="Times New Roman" w:cs="Times New Roman"/>
          <w:sz w:val="24"/>
          <w:szCs w:val="24"/>
        </w:rPr>
        <w:t xml:space="preserve"> τεστ </w:t>
      </w:r>
      <w:r w:rsidR="00B80380" w:rsidRPr="00282692">
        <w:rPr>
          <w:rFonts w:ascii="Times New Roman" w:hAnsi="Times New Roman" w:cs="Times New Roman"/>
          <w:sz w:val="24"/>
          <w:szCs w:val="24"/>
        </w:rPr>
        <w:t>που προβλέπεται σε Ανακοίνωση της Επιτροπής, παρατηρώντας ότι «το υψηλό αυτό ποσοστό συνδρομητών που δεν θα εγκατέλειπαν την υψηλή ταχύτητα σε περίπτωση αυξήσεως της τιμής από 5 έως 10 % αποτελεί σημαντική ένδειξη ελλείψεως υποκαταστάσεως από πλευράς ζητήσεως.»</w:t>
      </w:r>
      <w:r w:rsidR="001B382D" w:rsidRPr="00282692">
        <w:rPr>
          <w:rStyle w:val="FootnoteReference"/>
          <w:rFonts w:ascii="Times New Roman" w:hAnsi="Times New Roman" w:cs="Times New Roman"/>
          <w:sz w:val="24"/>
          <w:szCs w:val="24"/>
        </w:rPr>
        <w:footnoteReference w:id="49"/>
      </w:r>
      <w:r w:rsidR="001B382D" w:rsidRPr="00282692">
        <w:rPr>
          <w:rFonts w:ascii="Times New Roman" w:hAnsi="Times New Roman" w:cs="Times New Roman"/>
          <w:sz w:val="24"/>
          <w:szCs w:val="24"/>
        </w:rPr>
        <w:t xml:space="preserve"> Η απόφαση του Γενικού Δικαστηρίου επικυρώθηκε πλήρως από το Δικαστήριο</w:t>
      </w:r>
      <w:r w:rsidR="001B382D" w:rsidRPr="00282692">
        <w:rPr>
          <w:rStyle w:val="FootnoteReference"/>
          <w:rFonts w:ascii="Times New Roman" w:hAnsi="Times New Roman" w:cs="Times New Roman"/>
          <w:sz w:val="24"/>
          <w:szCs w:val="24"/>
        </w:rPr>
        <w:footnoteReference w:id="50"/>
      </w:r>
      <w:r w:rsidR="001B382D" w:rsidRPr="00282692">
        <w:rPr>
          <w:rFonts w:ascii="Times New Roman" w:hAnsi="Times New Roman" w:cs="Times New Roman"/>
          <w:sz w:val="24"/>
          <w:szCs w:val="24"/>
        </w:rPr>
        <w:t xml:space="preserve">. </w:t>
      </w:r>
    </w:p>
    <w:p w:rsidR="00E9267D" w:rsidRPr="00282692" w:rsidRDefault="00B80380"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r>
      <w:r w:rsidRPr="00016E58">
        <w:rPr>
          <w:rFonts w:ascii="Times New Roman" w:hAnsi="Times New Roman" w:cs="Times New Roman"/>
          <w:b/>
          <w:sz w:val="24"/>
          <w:szCs w:val="24"/>
        </w:rPr>
        <w:t xml:space="preserve">Η απόφαση </w:t>
      </w:r>
      <w:proofErr w:type="spellStart"/>
      <w:r w:rsidRPr="00016E58">
        <w:rPr>
          <w:rFonts w:ascii="Times New Roman" w:hAnsi="Times New Roman" w:cs="Times New Roman"/>
          <w:b/>
          <w:i/>
          <w:sz w:val="24"/>
          <w:szCs w:val="24"/>
          <w:lang w:val="en-US"/>
        </w:rPr>
        <w:t>Wanadoo</w:t>
      </w:r>
      <w:proofErr w:type="spellEnd"/>
      <w:r w:rsidRPr="00016E58">
        <w:rPr>
          <w:rFonts w:ascii="Times New Roman" w:hAnsi="Times New Roman" w:cs="Times New Roman"/>
          <w:b/>
          <w:sz w:val="24"/>
          <w:szCs w:val="24"/>
        </w:rPr>
        <w:t xml:space="preserve"> δείχνει μια στροφή των ενωσιακών δικαστηρίων από μια προσέγγιση βασισμένη σε αμιγώς ποιοτικά κριτήρια σε μια προσέγγιση βασισμένη σε ποσοτικά κριτήρια</w:t>
      </w:r>
      <w:r w:rsidRPr="00282692">
        <w:rPr>
          <w:rFonts w:ascii="Times New Roman" w:hAnsi="Times New Roman" w:cs="Times New Roman"/>
          <w:sz w:val="24"/>
          <w:szCs w:val="24"/>
        </w:rPr>
        <w:t xml:space="preserve">. Ωστόσο, η χρήση ποιοτικών κριτηρίων για την </w:t>
      </w:r>
      <w:r w:rsidRPr="00282692">
        <w:rPr>
          <w:rFonts w:ascii="Times New Roman" w:hAnsi="Times New Roman" w:cs="Times New Roman"/>
          <w:sz w:val="24"/>
          <w:szCs w:val="24"/>
        </w:rPr>
        <w:lastRenderedPageBreak/>
        <w:t>οριοθέτηση της σχετικής αγοράς δεν εγκαταλείφθηκε πλήρως</w:t>
      </w:r>
      <w:r w:rsidR="00EB15BB" w:rsidRPr="00282692">
        <w:rPr>
          <w:rFonts w:ascii="Times New Roman" w:hAnsi="Times New Roman" w:cs="Times New Roman"/>
          <w:sz w:val="24"/>
          <w:szCs w:val="24"/>
        </w:rPr>
        <w:t xml:space="preserve"> και ορθά – κατά την εκτίμηση των οικονομολόγων</w:t>
      </w:r>
      <w:r w:rsidR="00EB15BB" w:rsidRPr="00282692">
        <w:rPr>
          <w:rStyle w:val="FootnoteReference"/>
          <w:rFonts w:ascii="Times New Roman" w:hAnsi="Times New Roman" w:cs="Times New Roman"/>
          <w:sz w:val="24"/>
          <w:szCs w:val="24"/>
        </w:rPr>
        <w:footnoteReference w:id="51"/>
      </w:r>
      <w:r w:rsidR="00EB15BB" w:rsidRPr="00282692">
        <w:rPr>
          <w:rFonts w:ascii="Times New Roman" w:hAnsi="Times New Roman" w:cs="Times New Roman"/>
          <w:sz w:val="24"/>
          <w:szCs w:val="24"/>
        </w:rPr>
        <w:t xml:space="preserve"> -</w:t>
      </w:r>
      <w:r w:rsidRPr="00282692">
        <w:rPr>
          <w:rFonts w:ascii="Times New Roman" w:hAnsi="Times New Roman" w:cs="Times New Roman"/>
          <w:sz w:val="24"/>
          <w:szCs w:val="24"/>
        </w:rPr>
        <w:t xml:space="preserve"> ιδίως σε υποθέσεις με αντικείμενο προϊόντα υψηλής τεχνολογίας και χρηματοοικονομικ</w:t>
      </w:r>
      <w:r w:rsidR="008C680F" w:rsidRPr="00282692">
        <w:rPr>
          <w:rFonts w:ascii="Times New Roman" w:hAnsi="Times New Roman" w:cs="Times New Roman"/>
          <w:sz w:val="24"/>
          <w:szCs w:val="24"/>
        </w:rPr>
        <w:t>ές υπηρεσίες. Έτσι, στην απόφαση</w:t>
      </w:r>
      <w:r w:rsidRPr="00282692">
        <w:rPr>
          <w:rFonts w:ascii="Times New Roman" w:hAnsi="Times New Roman" w:cs="Times New Roman"/>
          <w:i/>
          <w:sz w:val="24"/>
          <w:szCs w:val="24"/>
          <w:lang w:val="en-US"/>
        </w:rPr>
        <w:t>Microsoft</w:t>
      </w:r>
      <w:r w:rsidR="00D52AEE" w:rsidRPr="00282692">
        <w:rPr>
          <w:rFonts w:ascii="Times New Roman" w:hAnsi="Times New Roman" w:cs="Times New Roman"/>
          <w:i/>
          <w:sz w:val="24"/>
          <w:szCs w:val="24"/>
        </w:rPr>
        <w:t xml:space="preserve"> Ι</w:t>
      </w:r>
      <w:r w:rsidRPr="00282692">
        <w:rPr>
          <w:rFonts w:ascii="Times New Roman" w:hAnsi="Times New Roman" w:cs="Times New Roman"/>
          <w:sz w:val="24"/>
          <w:szCs w:val="24"/>
        </w:rPr>
        <w:t xml:space="preserve">, η αγορά των </w:t>
      </w:r>
      <w:r w:rsidRPr="00282692">
        <w:rPr>
          <w:rFonts w:ascii="Times New Roman" w:hAnsi="Times New Roman" w:cs="Times New Roman"/>
          <w:sz w:val="24"/>
          <w:szCs w:val="24"/>
          <w:lang w:val="en-US"/>
        </w:rPr>
        <w:t>mediaplayers</w:t>
      </w:r>
      <w:r w:rsidR="009A3914" w:rsidRPr="00282692">
        <w:rPr>
          <w:rFonts w:ascii="Times New Roman" w:hAnsi="Times New Roman" w:cs="Times New Roman"/>
          <w:sz w:val="24"/>
          <w:szCs w:val="24"/>
        </w:rPr>
        <w:t xml:space="preserve">(εφαρμογών αναπαραγωγής μέσων) που επιτρέπουν το </w:t>
      </w:r>
      <w:r w:rsidR="009A3914" w:rsidRPr="00282692">
        <w:rPr>
          <w:rFonts w:ascii="Times New Roman" w:hAnsi="Times New Roman" w:cs="Times New Roman"/>
          <w:sz w:val="24"/>
          <w:szCs w:val="24"/>
          <w:lang w:val="en-US"/>
        </w:rPr>
        <w:t>streaming</w:t>
      </w:r>
      <w:r w:rsidR="001B382D" w:rsidRPr="00282692">
        <w:rPr>
          <w:rFonts w:ascii="Times New Roman" w:hAnsi="Times New Roman" w:cs="Times New Roman"/>
          <w:sz w:val="24"/>
          <w:szCs w:val="24"/>
        </w:rPr>
        <w:t xml:space="preserve">κρίθηκε ότι </w:t>
      </w:r>
      <w:r w:rsidR="009A3914" w:rsidRPr="00282692">
        <w:rPr>
          <w:rFonts w:ascii="Times New Roman" w:hAnsi="Times New Roman" w:cs="Times New Roman"/>
          <w:sz w:val="24"/>
          <w:szCs w:val="24"/>
        </w:rPr>
        <w:t xml:space="preserve">είναι διαφορετική από την αγορά των </w:t>
      </w:r>
      <w:r w:rsidR="009A3914" w:rsidRPr="00282692">
        <w:rPr>
          <w:rFonts w:ascii="Times New Roman" w:hAnsi="Times New Roman" w:cs="Times New Roman"/>
          <w:sz w:val="24"/>
          <w:szCs w:val="24"/>
          <w:lang w:val="en-US"/>
        </w:rPr>
        <w:t>mediaplayers</w:t>
      </w:r>
      <w:r w:rsidR="009A3914" w:rsidRPr="00282692">
        <w:rPr>
          <w:rFonts w:ascii="Times New Roman" w:hAnsi="Times New Roman" w:cs="Times New Roman"/>
          <w:sz w:val="24"/>
          <w:szCs w:val="24"/>
        </w:rPr>
        <w:t xml:space="preserve"> που δεν επιτρέπουν το </w:t>
      </w:r>
      <w:r w:rsidR="009A3914" w:rsidRPr="00282692">
        <w:rPr>
          <w:rFonts w:ascii="Times New Roman" w:hAnsi="Times New Roman" w:cs="Times New Roman"/>
          <w:sz w:val="24"/>
          <w:szCs w:val="24"/>
          <w:lang w:val="en-US"/>
        </w:rPr>
        <w:t>streaming</w:t>
      </w:r>
      <w:r w:rsidR="009A3914" w:rsidRPr="00282692">
        <w:rPr>
          <w:rFonts w:ascii="Times New Roman" w:hAnsi="Times New Roman" w:cs="Times New Roman"/>
          <w:sz w:val="24"/>
          <w:szCs w:val="24"/>
        </w:rPr>
        <w:t>. Η διαχωρισμός των δύο αγορών βασίστηκε στη λειτουργία των δύο προϊόντων</w:t>
      </w:r>
      <w:r w:rsidR="009A3914" w:rsidRPr="00282692">
        <w:rPr>
          <w:rStyle w:val="FootnoteReference"/>
          <w:rFonts w:ascii="Times New Roman" w:hAnsi="Times New Roman" w:cs="Times New Roman"/>
          <w:sz w:val="24"/>
          <w:szCs w:val="24"/>
        </w:rPr>
        <w:footnoteReference w:id="52"/>
      </w:r>
      <w:r w:rsidR="009A3914" w:rsidRPr="00282692">
        <w:rPr>
          <w:rFonts w:ascii="Times New Roman" w:hAnsi="Times New Roman" w:cs="Times New Roman"/>
          <w:sz w:val="24"/>
          <w:szCs w:val="24"/>
        </w:rPr>
        <w:t xml:space="preserve">. Επίσης, στην απόφαση </w:t>
      </w:r>
      <w:proofErr w:type="spellStart"/>
      <w:r w:rsidR="009A3914" w:rsidRPr="00282692">
        <w:rPr>
          <w:rFonts w:ascii="Times New Roman" w:hAnsi="Times New Roman" w:cs="Times New Roman"/>
          <w:i/>
          <w:sz w:val="24"/>
          <w:szCs w:val="24"/>
          <w:lang w:val="en-US"/>
        </w:rPr>
        <w:t>ClearStream</w:t>
      </w:r>
      <w:proofErr w:type="spellEnd"/>
      <w:r w:rsidR="009A3914" w:rsidRPr="00282692">
        <w:rPr>
          <w:rFonts w:ascii="Times New Roman" w:hAnsi="Times New Roman" w:cs="Times New Roman"/>
          <w:sz w:val="24"/>
          <w:szCs w:val="24"/>
        </w:rPr>
        <w:t xml:space="preserve">, το Γενικό Δικαστήριο εξέτασε τη δυνατότητα υποκατάστασης από την πλευρά της ζήτησης βασιζόμενο στις τεκμαιρόμενες προτιμήσεις των καταναλωτών οι οποίοι προχωρούν σε διαφοροποιήσεις μεταξύ των προσφερόμενων υπηρεσιών </w:t>
      </w:r>
      <w:r w:rsidR="00E9267D" w:rsidRPr="00282692">
        <w:rPr>
          <w:rFonts w:ascii="Times New Roman" w:hAnsi="Times New Roman" w:cs="Times New Roman"/>
          <w:sz w:val="24"/>
          <w:szCs w:val="24"/>
        </w:rPr>
        <w:t>με βάση τα αποκλίνοντα χαρακτηριστικά τους</w:t>
      </w:r>
      <w:r w:rsidR="00E9267D" w:rsidRPr="00282692">
        <w:rPr>
          <w:rStyle w:val="FootnoteReference"/>
          <w:rFonts w:ascii="Times New Roman" w:hAnsi="Times New Roman" w:cs="Times New Roman"/>
          <w:sz w:val="24"/>
          <w:szCs w:val="24"/>
        </w:rPr>
        <w:footnoteReference w:id="53"/>
      </w:r>
      <w:r w:rsidR="00E9267D" w:rsidRPr="00282692">
        <w:rPr>
          <w:rFonts w:ascii="Times New Roman" w:hAnsi="Times New Roman" w:cs="Times New Roman"/>
          <w:sz w:val="24"/>
          <w:szCs w:val="24"/>
        </w:rPr>
        <w:t>.</w:t>
      </w:r>
    </w:p>
    <w:p w:rsidR="00BC1251" w:rsidRPr="00282692" w:rsidRDefault="00BC1251" w:rsidP="00282692">
      <w:pPr>
        <w:spacing w:after="0" w:line="240" w:lineRule="auto"/>
        <w:jc w:val="both"/>
        <w:rPr>
          <w:rFonts w:ascii="Times New Roman" w:hAnsi="Times New Roman" w:cs="Times New Roman"/>
          <w:sz w:val="24"/>
          <w:szCs w:val="24"/>
        </w:rPr>
      </w:pPr>
    </w:p>
    <w:p w:rsidR="00BC1251" w:rsidRPr="00282692" w:rsidRDefault="00BC1251" w:rsidP="00282692">
      <w:pPr>
        <w:spacing w:after="0" w:line="240" w:lineRule="auto"/>
        <w:jc w:val="both"/>
        <w:rPr>
          <w:rFonts w:ascii="Times New Roman" w:hAnsi="Times New Roman" w:cs="Times New Roman"/>
          <w:b/>
          <w:sz w:val="24"/>
          <w:szCs w:val="24"/>
        </w:rPr>
      </w:pPr>
      <w:r w:rsidRPr="00282692">
        <w:rPr>
          <w:rFonts w:ascii="Times New Roman" w:hAnsi="Times New Roman" w:cs="Times New Roman"/>
          <w:b/>
          <w:sz w:val="24"/>
          <w:szCs w:val="24"/>
          <w:lang w:val="en-US"/>
        </w:rPr>
        <w:t>iii</w:t>
      </w:r>
      <w:r w:rsidRPr="00282692">
        <w:rPr>
          <w:rFonts w:ascii="Times New Roman" w:hAnsi="Times New Roman" w:cs="Times New Roman"/>
          <w:b/>
          <w:sz w:val="24"/>
          <w:szCs w:val="24"/>
        </w:rPr>
        <w:t>) Εκτίμηση της δυνατότητας υποκατάστασης από την πλευρά της προσφοράς</w:t>
      </w:r>
    </w:p>
    <w:p w:rsidR="00BC1251" w:rsidRPr="00282692" w:rsidRDefault="00BC1251" w:rsidP="00282692">
      <w:pPr>
        <w:spacing w:after="0" w:line="240" w:lineRule="auto"/>
        <w:jc w:val="both"/>
        <w:rPr>
          <w:rFonts w:ascii="Times New Roman" w:hAnsi="Times New Roman" w:cs="Times New Roman"/>
          <w:sz w:val="24"/>
          <w:szCs w:val="24"/>
        </w:rPr>
      </w:pPr>
    </w:p>
    <w:p w:rsidR="00BC1251" w:rsidRPr="00966713" w:rsidRDefault="00E9267D" w:rsidP="00282692">
      <w:pPr>
        <w:spacing w:after="0" w:line="240" w:lineRule="auto"/>
        <w:jc w:val="both"/>
        <w:rPr>
          <w:rFonts w:ascii="Times New Roman" w:hAnsi="Times New Roman" w:cs="Times New Roman"/>
          <w:b/>
          <w:sz w:val="24"/>
          <w:szCs w:val="24"/>
        </w:rPr>
      </w:pPr>
      <w:r w:rsidRPr="00282692">
        <w:rPr>
          <w:rFonts w:ascii="Times New Roman" w:hAnsi="Times New Roman" w:cs="Times New Roman"/>
          <w:sz w:val="24"/>
          <w:szCs w:val="24"/>
        </w:rPr>
        <w:tab/>
      </w:r>
      <w:r w:rsidRPr="00966713">
        <w:rPr>
          <w:rFonts w:ascii="Times New Roman" w:hAnsi="Times New Roman" w:cs="Times New Roman"/>
          <w:b/>
          <w:sz w:val="24"/>
          <w:szCs w:val="24"/>
        </w:rPr>
        <w:t>Όσον αφορά τη δυνατότητα υποκατάστασης από την πλευρά της προσφοράς,η εξέτασή της από το ΔΕΕ στο πλαίσιο της οριοθέτησης της σχετικής αγοράς υπήρξε πιο δυναμική</w:t>
      </w:r>
      <w:r w:rsidR="00BC1251" w:rsidRPr="00966713">
        <w:rPr>
          <w:rFonts w:ascii="Times New Roman" w:hAnsi="Times New Roman" w:cs="Times New Roman"/>
          <w:b/>
          <w:sz w:val="24"/>
          <w:szCs w:val="24"/>
        </w:rPr>
        <w:t>, από την άποψη της χρήσης οικονομικών όρων,</w:t>
      </w:r>
      <w:r w:rsidRPr="00966713">
        <w:rPr>
          <w:rFonts w:ascii="Times New Roman" w:hAnsi="Times New Roman" w:cs="Times New Roman"/>
          <w:b/>
          <w:sz w:val="24"/>
          <w:szCs w:val="24"/>
        </w:rPr>
        <w:t xml:space="preserve"> ήδη μάλιστα από τις πρώτες αποφάσεις του. </w:t>
      </w:r>
    </w:p>
    <w:p w:rsidR="00BC1251" w:rsidRPr="00282692" w:rsidRDefault="00E9267D"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Στην απόφαση </w:t>
      </w:r>
      <w:r w:rsidRPr="00282692">
        <w:rPr>
          <w:rFonts w:ascii="Times New Roman" w:hAnsi="Times New Roman" w:cs="Times New Roman"/>
          <w:i/>
          <w:sz w:val="24"/>
          <w:szCs w:val="24"/>
          <w:lang w:val="en-US"/>
        </w:rPr>
        <w:t>ContinentalCan</w:t>
      </w:r>
      <w:r w:rsidRPr="00282692">
        <w:rPr>
          <w:rFonts w:ascii="Times New Roman" w:hAnsi="Times New Roman" w:cs="Times New Roman"/>
          <w:sz w:val="24"/>
          <w:szCs w:val="24"/>
        </w:rPr>
        <w:t>, το Γενικό</w:t>
      </w:r>
      <w:r w:rsidR="00CF1614" w:rsidRPr="00282692">
        <w:rPr>
          <w:rFonts w:ascii="Times New Roman" w:hAnsi="Times New Roman" w:cs="Times New Roman"/>
          <w:sz w:val="24"/>
          <w:szCs w:val="24"/>
        </w:rPr>
        <w:t xml:space="preserve"> Δικαστήριο ακύρωσε τις θέσεις στις οποίες</w:t>
      </w:r>
      <w:r w:rsidRPr="00282692">
        <w:rPr>
          <w:rFonts w:ascii="Times New Roman" w:hAnsi="Times New Roman" w:cs="Times New Roman"/>
          <w:sz w:val="24"/>
          <w:szCs w:val="24"/>
        </w:rPr>
        <w:t xml:space="preserve"> είχε καταλήξει η Επιτροπή ως προς την οριοθέτηση των σχετικών αγορών, επειδή η Επιτροπή παράλειψε να λάβει υπόψη της τη δυνατότητα υποκατάστασης από την πλευρά της προσφοράς. Πιο συγκεκριμένα, στην παραπάνω απόφαση, το Δικαστήριο παρατήρησε ότι «η κατοχή δεσπόζουσας θέσης στην αγορά </w:t>
      </w:r>
      <w:r w:rsidR="00E20055" w:rsidRPr="00282692">
        <w:rPr>
          <w:rFonts w:ascii="Times New Roman" w:hAnsi="Times New Roman" w:cs="Times New Roman"/>
          <w:sz w:val="24"/>
          <w:szCs w:val="24"/>
        </w:rPr>
        <w:t>ελαφρών μεταλλικών συ</w:t>
      </w:r>
      <w:r w:rsidRPr="00282692">
        <w:rPr>
          <w:rFonts w:ascii="Times New Roman" w:hAnsi="Times New Roman" w:cs="Times New Roman"/>
          <w:sz w:val="24"/>
          <w:szCs w:val="24"/>
        </w:rPr>
        <w:t>σκευασιών προοριζομένων για κονσέρβες κρέατος και ψαριού</w:t>
      </w:r>
      <w:r w:rsidR="00E20055" w:rsidRPr="00282692">
        <w:rPr>
          <w:rFonts w:ascii="Times New Roman" w:hAnsi="Times New Roman" w:cs="Times New Roman"/>
          <w:sz w:val="24"/>
          <w:szCs w:val="24"/>
        </w:rPr>
        <w:t xml:space="preserve"> δεν μπορεί να εί</w:t>
      </w:r>
      <w:r w:rsidRPr="00282692">
        <w:rPr>
          <w:rFonts w:ascii="Times New Roman" w:hAnsi="Times New Roman" w:cs="Times New Roman"/>
          <w:sz w:val="24"/>
          <w:szCs w:val="24"/>
        </w:rPr>
        <w:t>ναι αποφασιστικής σημασίας, εφόσον δεν έχει αποδειχθεί ότι οι ανταγωνιστέςσ' άλλους τομείς της αγοράς των ελαφρών</w:t>
      </w:r>
      <w:r w:rsidR="00E20055" w:rsidRPr="00282692">
        <w:rPr>
          <w:rFonts w:ascii="Times New Roman" w:hAnsi="Times New Roman" w:cs="Times New Roman"/>
          <w:sz w:val="24"/>
          <w:szCs w:val="24"/>
        </w:rPr>
        <w:t xml:space="preserve"> μεταλλικών συσκευασιών δεν μπο</w:t>
      </w:r>
      <w:r w:rsidRPr="00282692">
        <w:rPr>
          <w:rFonts w:ascii="Times New Roman" w:hAnsi="Times New Roman" w:cs="Times New Roman"/>
          <w:sz w:val="24"/>
          <w:szCs w:val="24"/>
        </w:rPr>
        <w:t>ρούν, ύστερα από απλή προσαρμογή, να παρουσιαστούν στην αγορά με ισχύεπαρκή, ώστε να αποτελέσουν σοβαρό αντίβαρο.</w:t>
      </w:r>
      <w:r w:rsidR="00E20055" w:rsidRPr="00282692">
        <w:rPr>
          <w:rFonts w:ascii="Times New Roman" w:hAnsi="Times New Roman" w:cs="Times New Roman"/>
          <w:sz w:val="24"/>
          <w:szCs w:val="24"/>
        </w:rPr>
        <w:t>»</w:t>
      </w:r>
      <w:r w:rsidR="00E20055" w:rsidRPr="00282692">
        <w:rPr>
          <w:rStyle w:val="FootnoteReference"/>
          <w:rFonts w:ascii="Times New Roman" w:hAnsi="Times New Roman" w:cs="Times New Roman"/>
          <w:sz w:val="24"/>
          <w:szCs w:val="24"/>
        </w:rPr>
        <w:footnoteReference w:id="54"/>
      </w:r>
    </w:p>
    <w:p w:rsidR="00BC1251" w:rsidRPr="00282692" w:rsidRDefault="00E20055"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Παρόμοια, στην απόφαση </w:t>
      </w:r>
      <w:r w:rsidRPr="00282692">
        <w:rPr>
          <w:rFonts w:ascii="Times New Roman" w:hAnsi="Times New Roman" w:cs="Times New Roman"/>
          <w:i/>
          <w:sz w:val="24"/>
          <w:szCs w:val="24"/>
          <w:lang w:val="en-US"/>
        </w:rPr>
        <w:t>Michelin</w:t>
      </w:r>
      <w:r w:rsidR="00FE3611" w:rsidRPr="00282692">
        <w:rPr>
          <w:rFonts w:ascii="Times New Roman" w:hAnsi="Times New Roman" w:cs="Times New Roman"/>
          <w:i/>
          <w:sz w:val="24"/>
          <w:szCs w:val="24"/>
          <w:lang w:val="en-US"/>
        </w:rPr>
        <w:t>I</w:t>
      </w:r>
      <w:r w:rsidRPr="00282692">
        <w:rPr>
          <w:rFonts w:ascii="Times New Roman" w:hAnsi="Times New Roman" w:cs="Times New Roman"/>
          <w:sz w:val="24"/>
          <w:szCs w:val="24"/>
        </w:rPr>
        <w:t>, το Δικαστήριο ακολουθώντας την ίδια προσέγγιση επικύρωσε, αυτή τη φορά, τα πορίσματα της Επιτροπής περί ύπαρξης διαφορετικών σχετικών αγορών, παρατηρώντας ότι δεν υπήρχε καμία ελαστικότητα της προσφοράς επειδή μια διαφοροποίηση του προϊόντος θα απαιτούσε χρόνο και σημαντικό κόστος επενδύσεων</w:t>
      </w:r>
      <w:r w:rsidRPr="00282692">
        <w:rPr>
          <w:rStyle w:val="FootnoteReference"/>
          <w:rFonts w:ascii="Times New Roman" w:hAnsi="Times New Roman" w:cs="Times New Roman"/>
          <w:sz w:val="24"/>
          <w:szCs w:val="24"/>
        </w:rPr>
        <w:footnoteReference w:id="55"/>
      </w:r>
      <w:r w:rsidRPr="00282692">
        <w:rPr>
          <w:rFonts w:ascii="Times New Roman" w:hAnsi="Times New Roman" w:cs="Times New Roman"/>
          <w:sz w:val="24"/>
          <w:szCs w:val="24"/>
        </w:rPr>
        <w:t>.</w:t>
      </w:r>
    </w:p>
    <w:p w:rsidR="00D74F87" w:rsidRPr="00282692" w:rsidRDefault="00BC1251"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Τέλος</w:t>
      </w:r>
      <w:r w:rsidR="00D74F87" w:rsidRPr="00282692">
        <w:rPr>
          <w:rFonts w:ascii="Times New Roman" w:hAnsi="Times New Roman" w:cs="Times New Roman"/>
          <w:sz w:val="24"/>
          <w:szCs w:val="24"/>
        </w:rPr>
        <w:t xml:space="preserve">, στην απόφαση </w:t>
      </w:r>
      <w:r w:rsidR="00D74F87" w:rsidRPr="00282692">
        <w:rPr>
          <w:rFonts w:ascii="Times New Roman" w:hAnsi="Times New Roman" w:cs="Times New Roman"/>
          <w:i/>
          <w:sz w:val="24"/>
          <w:szCs w:val="24"/>
          <w:lang w:val="en-US"/>
        </w:rPr>
        <w:t>KishGlass</w:t>
      </w:r>
      <w:r w:rsidR="00D74F87" w:rsidRPr="00282692">
        <w:rPr>
          <w:rFonts w:ascii="Times New Roman" w:hAnsi="Times New Roman" w:cs="Times New Roman"/>
          <w:sz w:val="24"/>
          <w:szCs w:val="24"/>
        </w:rPr>
        <w:t xml:space="preserve">, το Γενικό Δικαστήριο απέρριψε το επιχείρημα της προσφεύγουσας περί έλλειψης ελαστικότητας της προσφοράς παρατηρώντας, βάσει διαπιστώσεων που προέκυπταν από μια αξιολόγηση της παραγωγής των επίμαχων προϊόντων με χρήση ποιοτικών κριτηρίων, ότι η παραγωγή των επίμαχων προϊόντων απαιτούσε τη χρήση της ίδιας τεχνολογίας. Έτσι, μια </w:t>
      </w:r>
      <w:r w:rsidR="00D74F87" w:rsidRPr="00282692">
        <w:rPr>
          <w:rFonts w:ascii="Times New Roman" w:hAnsi="Times New Roman" w:cs="Times New Roman"/>
          <w:sz w:val="24"/>
          <w:szCs w:val="24"/>
        </w:rPr>
        <w:lastRenderedPageBreak/>
        <w:t>μετατροπή της παραγωγής από το ένα προϊόν στο άλλο δεν συνεπαγόταν ουσιώδες επιπλέον κόστος για την προσφεύγουσα επιχείρηση</w:t>
      </w:r>
      <w:r w:rsidR="00D74F87" w:rsidRPr="00282692">
        <w:rPr>
          <w:rStyle w:val="FootnoteReference"/>
          <w:rFonts w:ascii="Times New Roman" w:hAnsi="Times New Roman" w:cs="Times New Roman"/>
          <w:sz w:val="24"/>
          <w:szCs w:val="24"/>
        </w:rPr>
        <w:footnoteReference w:id="56"/>
      </w:r>
      <w:r w:rsidR="00D74F87" w:rsidRPr="00282692">
        <w:rPr>
          <w:rFonts w:ascii="Times New Roman" w:hAnsi="Times New Roman" w:cs="Times New Roman"/>
          <w:sz w:val="24"/>
          <w:szCs w:val="24"/>
        </w:rPr>
        <w:t>.</w:t>
      </w:r>
    </w:p>
    <w:p w:rsidR="00BC1251" w:rsidRPr="00282692" w:rsidRDefault="00521209"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r>
    </w:p>
    <w:p w:rsidR="00BC1251" w:rsidRPr="00282692" w:rsidRDefault="00BC1251"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b/>
          <w:sz w:val="24"/>
          <w:szCs w:val="24"/>
        </w:rPr>
        <w:t>β) Οριοθέτηση της σχετικής γεωγραφικής αγοράς</w:t>
      </w:r>
    </w:p>
    <w:p w:rsidR="00BC1251" w:rsidRPr="00282692" w:rsidRDefault="00BC1251" w:rsidP="00282692">
      <w:pPr>
        <w:spacing w:after="0" w:line="240" w:lineRule="auto"/>
        <w:jc w:val="both"/>
        <w:rPr>
          <w:rFonts w:ascii="Times New Roman" w:hAnsi="Times New Roman" w:cs="Times New Roman"/>
          <w:sz w:val="24"/>
          <w:szCs w:val="24"/>
        </w:rPr>
      </w:pPr>
    </w:p>
    <w:p w:rsidR="008344B2" w:rsidRPr="00282692" w:rsidRDefault="007C7B96"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Σε σχέση, τώρα, με</w:t>
      </w:r>
      <w:r w:rsidR="00521209" w:rsidRPr="00282692">
        <w:rPr>
          <w:rFonts w:ascii="Times New Roman" w:hAnsi="Times New Roman" w:cs="Times New Roman"/>
          <w:sz w:val="24"/>
          <w:szCs w:val="24"/>
        </w:rPr>
        <w:t xml:space="preserve"> τον προσδιορισμό </w:t>
      </w:r>
      <w:r w:rsidR="00BC1251" w:rsidRPr="00282692">
        <w:rPr>
          <w:rFonts w:ascii="Times New Roman" w:hAnsi="Times New Roman" w:cs="Times New Roman"/>
          <w:sz w:val="24"/>
          <w:szCs w:val="24"/>
        </w:rPr>
        <w:t>της σχετικής</w:t>
      </w:r>
      <w:r w:rsidR="00521209" w:rsidRPr="00282692">
        <w:rPr>
          <w:rFonts w:ascii="Times New Roman" w:hAnsi="Times New Roman" w:cs="Times New Roman"/>
          <w:sz w:val="24"/>
          <w:szCs w:val="24"/>
        </w:rPr>
        <w:t xml:space="preserve"> γεωγραφικής αγοράς, </w:t>
      </w:r>
      <w:r w:rsidR="008344B2" w:rsidRPr="00282692">
        <w:rPr>
          <w:rFonts w:ascii="Times New Roman" w:hAnsi="Times New Roman" w:cs="Times New Roman"/>
          <w:sz w:val="24"/>
          <w:szCs w:val="24"/>
        </w:rPr>
        <w:t>οι ο</w:t>
      </w:r>
      <w:r w:rsidR="00725F9A" w:rsidRPr="00282692">
        <w:rPr>
          <w:rFonts w:ascii="Times New Roman" w:hAnsi="Times New Roman" w:cs="Times New Roman"/>
          <w:sz w:val="24"/>
          <w:szCs w:val="24"/>
        </w:rPr>
        <w:t>ικονομικές παράμετροι που έχουν</w:t>
      </w:r>
      <w:r w:rsidR="008344B2" w:rsidRPr="00282692">
        <w:rPr>
          <w:rFonts w:ascii="Times New Roman" w:hAnsi="Times New Roman" w:cs="Times New Roman"/>
          <w:sz w:val="24"/>
          <w:szCs w:val="24"/>
        </w:rPr>
        <w:t xml:space="preserve"> κυρίως</w:t>
      </w:r>
      <w:r w:rsidR="00725F9A" w:rsidRPr="00282692">
        <w:rPr>
          <w:rFonts w:ascii="Times New Roman" w:hAnsi="Times New Roman" w:cs="Times New Roman"/>
          <w:sz w:val="24"/>
          <w:szCs w:val="24"/>
        </w:rPr>
        <w:t xml:space="preserve"> ληφθεί υπόψη</w:t>
      </w:r>
      <w:r w:rsidR="008344B2" w:rsidRPr="00282692">
        <w:rPr>
          <w:rFonts w:ascii="Times New Roman" w:hAnsi="Times New Roman" w:cs="Times New Roman"/>
          <w:sz w:val="24"/>
          <w:szCs w:val="24"/>
        </w:rPr>
        <w:t xml:space="preserve"> για τον προσδιορισμό αυτό είναι </w:t>
      </w:r>
      <w:r w:rsidR="008344B2" w:rsidRPr="00F07313">
        <w:rPr>
          <w:rFonts w:ascii="Times New Roman" w:hAnsi="Times New Roman" w:cs="Times New Roman"/>
          <w:b/>
          <w:sz w:val="24"/>
          <w:szCs w:val="24"/>
        </w:rPr>
        <w:t>τα έξοδα μεταφοράς</w:t>
      </w:r>
      <w:r w:rsidR="008344B2" w:rsidRPr="00282692">
        <w:rPr>
          <w:rFonts w:ascii="Times New Roman" w:hAnsi="Times New Roman" w:cs="Times New Roman"/>
          <w:sz w:val="24"/>
          <w:szCs w:val="24"/>
        </w:rPr>
        <w:t xml:space="preserve"> και </w:t>
      </w:r>
      <w:r w:rsidR="00725F9A" w:rsidRPr="00F07313">
        <w:rPr>
          <w:rFonts w:ascii="Times New Roman" w:hAnsi="Times New Roman" w:cs="Times New Roman"/>
          <w:b/>
          <w:sz w:val="24"/>
          <w:szCs w:val="24"/>
        </w:rPr>
        <w:t>η εφοδιαστική αλυσίδα</w:t>
      </w:r>
      <w:r w:rsidR="00725F9A" w:rsidRPr="00282692">
        <w:rPr>
          <w:rStyle w:val="FootnoteReference"/>
          <w:rFonts w:ascii="Times New Roman" w:hAnsi="Times New Roman" w:cs="Times New Roman"/>
          <w:sz w:val="24"/>
          <w:szCs w:val="24"/>
        </w:rPr>
        <w:footnoteReference w:id="57"/>
      </w:r>
      <w:r w:rsidR="00725F9A" w:rsidRPr="00282692">
        <w:rPr>
          <w:rFonts w:ascii="Times New Roman" w:hAnsi="Times New Roman" w:cs="Times New Roman"/>
          <w:sz w:val="24"/>
          <w:szCs w:val="24"/>
        </w:rPr>
        <w:t xml:space="preserve">. </w:t>
      </w:r>
    </w:p>
    <w:p w:rsidR="005B7E89" w:rsidRPr="00282692" w:rsidRDefault="00521209"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Στην απόφαση </w:t>
      </w:r>
      <w:r w:rsidRPr="00282692">
        <w:rPr>
          <w:rFonts w:ascii="Times New Roman" w:hAnsi="Times New Roman" w:cs="Times New Roman"/>
          <w:i/>
          <w:sz w:val="24"/>
          <w:szCs w:val="24"/>
          <w:lang w:val="en-US"/>
        </w:rPr>
        <w:t>UnitedBrands</w:t>
      </w:r>
      <w:r w:rsidRPr="00282692">
        <w:rPr>
          <w:rFonts w:ascii="Times New Roman" w:hAnsi="Times New Roman" w:cs="Times New Roman"/>
          <w:sz w:val="24"/>
          <w:szCs w:val="24"/>
        </w:rPr>
        <w:t>, τα έξοδα μεταφοράς δεν αξιολογήθηκαν ως εμπόδιο εισόδου για την ένταξη περιοχών από διαφορετικά κράτη μέλη στην ίδια γεωγραφική αγορά</w:t>
      </w:r>
      <w:r w:rsidRPr="00282692">
        <w:rPr>
          <w:rStyle w:val="FootnoteReference"/>
          <w:rFonts w:ascii="Times New Roman" w:hAnsi="Times New Roman" w:cs="Times New Roman"/>
          <w:sz w:val="24"/>
          <w:szCs w:val="24"/>
        </w:rPr>
        <w:footnoteReference w:id="58"/>
      </w:r>
      <w:r w:rsidRPr="00282692">
        <w:rPr>
          <w:rFonts w:ascii="Times New Roman" w:hAnsi="Times New Roman" w:cs="Times New Roman"/>
          <w:sz w:val="24"/>
          <w:szCs w:val="24"/>
        </w:rPr>
        <w:t xml:space="preserve">. Η προσέγγιση αυτή επιβεβαιώθηκε στην απόφαση </w:t>
      </w:r>
      <w:proofErr w:type="spellStart"/>
      <w:r w:rsidRPr="00282692">
        <w:rPr>
          <w:rFonts w:ascii="Times New Roman" w:hAnsi="Times New Roman" w:cs="Times New Roman"/>
          <w:i/>
          <w:sz w:val="24"/>
          <w:szCs w:val="24"/>
          <w:lang w:val="en-US"/>
        </w:rPr>
        <w:t>Hilti</w:t>
      </w:r>
      <w:proofErr w:type="spellEnd"/>
      <w:r w:rsidR="008A630E" w:rsidRPr="00282692">
        <w:rPr>
          <w:rFonts w:ascii="Times New Roman" w:hAnsi="Times New Roman" w:cs="Times New Roman"/>
          <w:sz w:val="24"/>
          <w:szCs w:val="24"/>
        </w:rPr>
        <w:t>. Στην απόφαση αυτή,τ</w:t>
      </w:r>
      <w:r w:rsidRPr="00282692">
        <w:rPr>
          <w:rFonts w:ascii="Times New Roman" w:hAnsi="Times New Roman" w:cs="Times New Roman"/>
          <w:sz w:val="24"/>
          <w:szCs w:val="24"/>
        </w:rPr>
        <w:t>ο Δικαστήριο</w:t>
      </w:r>
      <w:r w:rsidR="008A630E" w:rsidRPr="00282692">
        <w:rPr>
          <w:rFonts w:ascii="Times New Roman" w:hAnsi="Times New Roman" w:cs="Times New Roman"/>
          <w:sz w:val="24"/>
          <w:szCs w:val="24"/>
        </w:rPr>
        <w:t xml:space="preserve"> παρατήρησε ότι το χαμηλό κόστος μεταφοράς του εξεταζόμενου προϊόντος και η σημαντική διαφοροποίηση των τιμών των προϊόντων της προσφεύγουσας μεταξύ των εθνικών αγορών της Ένωσης πιθανολογούσαν την ανάπτυξη της πρακτικής του παράλληλου εμπορίου μεταξύ όλων των κρατών μελών της Ένωσης</w:t>
      </w:r>
      <w:r w:rsidR="004B4629" w:rsidRPr="00282692">
        <w:rPr>
          <w:rFonts w:ascii="Times New Roman" w:hAnsi="Times New Roman" w:cs="Times New Roman"/>
          <w:sz w:val="24"/>
          <w:szCs w:val="24"/>
        </w:rPr>
        <w:t>. Βάσει των εκτιμήσεων αυτών, κρίθηκε ότι ήταν ορθή η θέση της Επιτροπής ότι η σχετική γεωγραφική αγορά περιλάμβανε εν προκειμένω το σύνολο των κρατών μελών της Ένωσης</w:t>
      </w:r>
      <w:r w:rsidR="004B4629" w:rsidRPr="00282692">
        <w:rPr>
          <w:rStyle w:val="FootnoteReference"/>
          <w:rFonts w:ascii="Times New Roman" w:hAnsi="Times New Roman" w:cs="Times New Roman"/>
          <w:sz w:val="24"/>
          <w:szCs w:val="24"/>
        </w:rPr>
        <w:footnoteReference w:id="59"/>
      </w:r>
      <w:r w:rsidR="004B4629" w:rsidRPr="00282692">
        <w:rPr>
          <w:rFonts w:ascii="Times New Roman" w:hAnsi="Times New Roman" w:cs="Times New Roman"/>
          <w:sz w:val="24"/>
          <w:szCs w:val="24"/>
        </w:rPr>
        <w:t xml:space="preserve">. </w:t>
      </w:r>
    </w:p>
    <w:p w:rsidR="005B7E89" w:rsidRPr="00282692" w:rsidRDefault="004B4629"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Στην απόφαση </w:t>
      </w:r>
      <w:r w:rsidRPr="00282692">
        <w:rPr>
          <w:rFonts w:ascii="Times New Roman" w:hAnsi="Times New Roman" w:cs="Times New Roman"/>
          <w:i/>
          <w:sz w:val="24"/>
          <w:szCs w:val="24"/>
          <w:lang w:val="fr-FR"/>
        </w:rPr>
        <w:t>A</w:t>
      </w:r>
      <w:r w:rsidRPr="00282692">
        <w:rPr>
          <w:rFonts w:ascii="Times New Roman" w:hAnsi="Times New Roman" w:cs="Times New Roman"/>
          <w:i/>
          <w:sz w:val="24"/>
          <w:szCs w:val="24"/>
        </w:rPr>
        <w:t>é</w:t>
      </w:r>
      <w:proofErr w:type="spellStart"/>
      <w:r w:rsidRPr="00282692">
        <w:rPr>
          <w:rFonts w:ascii="Times New Roman" w:hAnsi="Times New Roman" w:cs="Times New Roman"/>
          <w:i/>
          <w:sz w:val="24"/>
          <w:szCs w:val="24"/>
          <w:lang w:val="fr-FR"/>
        </w:rPr>
        <w:t>roportdeParis</w:t>
      </w:r>
      <w:proofErr w:type="spellEnd"/>
      <w:r w:rsidRPr="00282692">
        <w:rPr>
          <w:rFonts w:ascii="Times New Roman" w:hAnsi="Times New Roman" w:cs="Times New Roman"/>
          <w:sz w:val="24"/>
          <w:szCs w:val="24"/>
        </w:rPr>
        <w:t xml:space="preserve">, κρίθηκε ότι η ύπαρξη εμποδίων εισόδου δεν επέτρεπε την ένταξη </w:t>
      </w:r>
      <w:r w:rsidR="007C7B96" w:rsidRPr="00282692">
        <w:rPr>
          <w:rFonts w:ascii="Times New Roman" w:hAnsi="Times New Roman" w:cs="Times New Roman"/>
          <w:sz w:val="24"/>
          <w:szCs w:val="24"/>
        </w:rPr>
        <w:t xml:space="preserve">άλλων αερολιμένων εκτός αυτών του </w:t>
      </w:r>
      <w:proofErr w:type="spellStart"/>
      <w:r w:rsidR="007C7B96" w:rsidRPr="00282692">
        <w:rPr>
          <w:rFonts w:ascii="Times New Roman" w:hAnsi="Times New Roman" w:cs="Times New Roman"/>
          <w:sz w:val="24"/>
          <w:szCs w:val="24"/>
          <w:lang w:val="en-US"/>
        </w:rPr>
        <w:t>Orly</w:t>
      </w:r>
      <w:proofErr w:type="spellEnd"/>
      <w:r w:rsidR="007C7B96" w:rsidRPr="00282692">
        <w:rPr>
          <w:rFonts w:ascii="Times New Roman" w:hAnsi="Times New Roman" w:cs="Times New Roman"/>
          <w:sz w:val="24"/>
          <w:szCs w:val="24"/>
        </w:rPr>
        <w:t xml:space="preserve"> και του Roissy-CDG</w:t>
      </w:r>
      <w:r w:rsidR="00725F9A" w:rsidRPr="00282692">
        <w:rPr>
          <w:rFonts w:ascii="Times New Roman" w:hAnsi="Times New Roman" w:cs="Times New Roman"/>
          <w:sz w:val="24"/>
          <w:szCs w:val="24"/>
        </w:rPr>
        <w:t xml:space="preserve"> στην ίδια γεωγραφική αγορά</w:t>
      </w:r>
      <w:r w:rsidR="007C7B96" w:rsidRPr="00282692">
        <w:rPr>
          <w:rStyle w:val="FootnoteReference"/>
          <w:rFonts w:ascii="Times New Roman" w:hAnsi="Times New Roman" w:cs="Times New Roman"/>
          <w:sz w:val="24"/>
          <w:szCs w:val="24"/>
        </w:rPr>
        <w:footnoteReference w:id="60"/>
      </w:r>
      <w:r w:rsidR="007C7B96" w:rsidRPr="00282692">
        <w:rPr>
          <w:rFonts w:ascii="Times New Roman" w:hAnsi="Times New Roman" w:cs="Times New Roman"/>
          <w:sz w:val="24"/>
          <w:szCs w:val="24"/>
        </w:rPr>
        <w:t>.</w:t>
      </w:r>
    </w:p>
    <w:p w:rsidR="007C7B96" w:rsidRPr="00282692" w:rsidRDefault="007C7B96"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Τέλος, στην απόφαση </w:t>
      </w:r>
      <w:r w:rsidRPr="00282692">
        <w:rPr>
          <w:rFonts w:ascii="Times New Roman" w:hAnsi="Times New Roman" w:cs="Times New Roman"/>
          <w:i/>
          <w:sz w:val="24"/>
          <w:szCs w:val="24"/>
          <w:lang w:val="en-US"/>
        </w:rPr>
        <w:t>MicrosoftI</w:t>
      </w:r>
      <w:r w:rsidRPr="00282692">
        <w:rPr>
          <w:rFonts w:ascii="Times New Roman" w:hAnsi="Times New Roman" w:cs="Times New Roman"/>
          <w:sz w:val="24"/>
          <w:szCs w:val="24"/>
        </w:rPr>
        <w:t>, το Γενικό Δικαστήριο έκανε δεκτό ότι η γεωγραφική αγορά συμπίπτει με ολόκληρη την υφήλιο λόγω της μη ύπαρξης περιορισμών στις εισαγωγές και λόγω των πολύ χαμηλών εξόδων μεταφοράς των κρινόμενων προϊόντων</w:t>
      </w:r>
      <w:r w:rsidRPr="00282692">
        <w:rPr>
          <w:rStyle w:val="FootnoteReference"/>
          <w:rFonts w:ascii="Times New Roman" w:hAnsi="Times New Roman" w:cs="Times New Roman"/>
          <w:sz w:val="24"/>
          <w:szCs w:val="24"/>
        </w:rPr>
        <w:footnoteReference w:id="61"/>
      </w:r>
      <w:r w:rsidRPr="00282692">
        <w:rPr>
          <w:rFonts w:ascii="Times New Roman" w:hAnsi="Times New Roman" w:cs="Times New Roman"/>
          <w:sz w:val="24"/>
          <w:szCs w:val="24"/>
        </w:rPr>
        <w:t>.</w:t>
      </w:r>
    </w:p>
    <w:p w:rsidR="00725F9A" w:rsidRPr="00282692" w:rsidRDefault="00725F9A" w:rsidP="00282692">
      <w:pPr>
        <w:spacing w:after="0" w:line="240" w:lineRule="auto"/>
        <w:jc w:val="both"/>
        <w:rPr>
          <w:rFonts w:ascii="Times New Roman" w:hAnsi="Times New Roman" w:cs="Times New Roman"/>
          <w:sz w:val="24"/>
          <w:szCs w:val="24"/>
        </w:rPr>
      </w:pPr>
    </w:p>
    <w:p w:rsidR="00725F9A" w:rsidRPr="00282692" w:rsidRDefault="00725F9A" w:rsidP="00282692">
      <w:pPr>
        <w:spacing w:after="0" w:line="240" w:lineRule="auto"/>
        <w:jc w:val="both"/>
        <w:rPr>
          <w:rFonts w:ascii="Times New Roman" w:hAnsi="Times New Roman" w:cs="Times New Roman"/>
          <w:b/>
          <w:sz w:val="24"/>
          <w:szCs w:val="24"/>
        </w:rPr>
      </w:pPr>
      <w:r w:rsidRPr="00282692">
        <w:rPr>
          <w:rFonts w:ascii="Times New Roman" w:hAnsi="Times New Roman" w:cs="Times New Roman"/>
          <w:b/>
          <w:sz w:val="24"/>
          <w:szCs w:val="24"/>
        </w:rPr>
        <w:t>γ) Συμπεράσματα</w:t>
      </w:r>
    </w:p>
    <w:p w:rsidR="00725F9A" w:rsidRPr="00282692" w:rsidRDefault="00725F9A" w:rsidP="00282692">
      <w:pPr>
        <w:spacing w:after="0" w:line="240" w:lineRule="auto"/>
        <w:ind w:firstLine="720"/>
        <w:jc w:val="both"/>
        <w:rPr>
          <w:rFonts w:ascii="Times New Roman" w:hAnsi="Times New Roman" w:cs="Times New Roman"/>
          <w:sz w:val="24"/>
          <w:szCs w:val="24"/>
        </w:rPr>
      </w:pPr>
    </w:p>
    <w:p w:rsidR="008E4C95" w:rsidRPr="00282692" w:rsidRDefault="00B10F4D"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Συμπερασματικά, παρατηρούμε ότι η νομολογία των ενωσιακών δικαστηρίων λαμβάνει γενικά υπόψη της τα πορίσματα της οικονομικής ανάλυσης κατά την οριοθέτηση της σχετικής αγοράς </w:t>
      </w:r>
      <w:r w:rsidR="008A76BB" w:rsidRPr="00282692">
        <w:rPr>
          <w:rFonts w:ascii="Times New Roman" w:hAnsi="Times New Roman" w:cs="Times New Roman"/>
          <w:sz w:val="24"/>
          <w:szCs w:val="24"/>
        </w:rPr>
        <w:t xml:space="preserve">προϊόντος ή υπηρεσίας και κατά την οριοθέτηση της γεωγραφικής αγοράς </w:t>
      </w:r>
      <w:r w:rsidR="008E4C95" w:rsidRPr="00282692">
        <w:rPr>
          <w:rFonts w:ascii="Times New Roman" w:hAnsi="Times New Roman" w:cs="Times New Roman"/>
          <w:sz w:val="24"/>
          <w:szCs w:val="24"/>
        </w:rPr>
        <w:t>κατά</w:t>
      </w:r>
      <w:r w:rsidR="008A76BB" w:rsidRPr="00282692">
        <w:rPr>
          <w:rFonts w:ascii="Times New Roman" w:hAnsi="Times New Roman" w:cs="Times New Roman"/>
          <w:sz w:val="24"/>
          <w:szCs w:val="24"/>
        </w:rPr>
        <w:t xml:space="preserve"> την εφαρμογή του άρθρου 102 ΣΛΕΕ. Ειδικότερα, η δυνατότητα υποκατάστασης από την πλευρά της προσφοράς αξιολογείται κυρίως βάσει ποσοτικών δεδομένων και σε αρμονία με τις θέσεις της οικονομικής ανάλυσης ήδη από τις πρώτες αποφάσεις του ΔΕΕ. Ο ίδιος τρόπος αξιολόγησης ακολουθείται, κατά το μάλλον ή ήττον, και κατά τον προσδιορισμό της </w:t>
      </w:r>
      <w:r w:rsidR="008E4C95" w:rsidRPr="00282692">
        <w:rPr>
          <w:rFonts w:ascii="Times New Roman" w:hAnsi="Times New Roman" w:cs="Times New Roman"/>
          <w:sz w:val="24"/>
          <w:szCs w:val="24"/>
        </w:rPr>
        <w:t xml:space="preserve">σχετικής </w:t>
      </w:r>
      <w:r w:rsidR="008A76BB" w:rsidRPr="00282692">
        <w:rPr>
          <w:rFonts w:ascii="Times New Roman" w:hAnsi="Times New Roman" w:cs="Times New Roman"/>
          <w:sz w:val="24"/>
          <w:szCs w:val="24"/>
        </w:rPr>
        <w:t xml:space="preserve">γεωγραφικής αγοράς. Πάντως, </w:t>
      </w:r>
      <w:r w:rsidR="008E4C95" w:rsidRPr="00282692">
        <w:rPr>
          <w:rFonts w:ascii="Times New Roman" w:hAnsi="Times New Roman" w:cs="Times New Roman"/>
          <w:sz w:val="24"/>
          <w:szCs w:val="24"/>
        </w:rPr>
        <w:t>στα πλαίσια των προαναφερθεισών αξιολογήσεων δεν απουσιάζει και η χρήση ποιοτικών κριτηρίων.</w:t>
      </w:r>
    </w:p>
    <w:p w:rsidR="008A76BB" w:rsidRPr="00282692" w:rsidRDefault="00400B6A"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Από την άλλη πλευρά, η δυνατότητα υποκατάστασης από την πλευρά της </w:t>
      </w:r>
      <w:r w:rsidR="0069726D" w:rsidRPr="00282692">
        <w:rPr>
          <w:rFonts w:ascii="Times New Roman" w:hAnsi="Times New Roman" w:cs="Times New Roman"/>
          <w:sz w:val="24"/>
          <w:szCs w:val="24"/>
        </w:rPr>
        <w:t xml:space="preserve">ζήτησης </w:t>
      </w:r>
      <w:r w:rsidR="00395382" w:rsidRPr="00282692">
        <w:rPr>
          <w:rFonts w:ascii="Times New Roman" w:hAnsi="Times New Roman" w:cs="Times New Roman"/>
          <w:sz w:val="24"/>
          <w:szCs w:val="24"/>
        </w:rPr>
        <w:t xml:space="preserve">αξιολογείται στις πρώτες αποφάσεις του ΔΕΕ με κριτήρια μάλλον ποιοτικά και, σε κάποιο βαθμό, υποκειμενικά. Ωστόσο, κατά τη δεκαετία του 1990, παρατηρείται μια σημαντική στροφή προς τη χρήση ποσοτικών κριτηρίων, </w:t>
      </w:r>
      <w:r w:rsidR="00395382" w:rsidRPr="00282692">
        <w:rPr>
          <w:rFonts w:ascii="Times New Roman" w:hAnsi="Times New Roman" w:cs="Times New Roman"/>
          <w:sz w:val="24"/>
          <w:szCs w:val="24"/>
        </w:rPr>
        <w:lastRenderedPageBreak/>
        <w:t>βασισμένων στα πορίσματα της οικονομικής ανάλυσης, και κατά την αξιολόγηση της δυνατότητας υποκατάστασης από την πλευρά της ζήτησης.</w:t>
      </w:r>
      <w:r w:rsidR="00C75E44" w:rsidRPr="00282692">
        <w:rPr>
          <w:rFonts w:ascii="Times New Roman" w:hAnsi="Times New Roman" w:cs="Times New Roman"/>
          <w:sz w:val="24"/>
          <w:szCs w:val="24"/>
        </w:rPr>
        <w:t xml:space="preserve"> Η στροφή αυτή εξηγείται μάλλον από την προσπάθεια του ΔΕΕ να ακολουθήσει τις κατευθύνσεις που δίνει η Επιτροπή για την οριοθέτηση της σχετικής αγοράς προϊόντος ή υπηρεσίας στη σχετική Ανακοίνωση του 1997</w:t>
      </w:r>
      <w:r w:rsidR="006901ED" w:rsidRPr="00282692">
        <w:rPr>
          <w:rStyle w:val="FootnoteReference"/>
          <w:rFonts w:ascii="Times New Roman" w:hAnsi="Times New Roman" w:cs="Times New Roman"/>
          <w:sz w:val="24"/>
          <w:szCs w:val="24"/>
        </w:rPr>
        <w:footnoteReference w:id="62"/>
      </w:r>
      <w:r w:rsidR="00C75E44" w:rsidRPr="00282692">
        <w:rPr>
          <w:rFonts w:ascii="Times New Roman" w:hAnsi="Times New Roman" w:cs="Times New Roman"/>
          <w:sz w:val="24"/>
          <w:szCs w:val="24"/>
        </w:rPr>
        <w:t xml:space="preserve">. </w:t>
      </w:r>
    </w:p>
    <w:p w:rsidR="00B90451" w:rsidRPr="00405B4E" w:rsidRDefault="00B90451" w:rsidP="00282692">
      <w:pPr>
        <w:spacing w:after="0" w:line="240" w:lineRule="auto"/>
        <w:ind w:firstLine="720"/>
        <w:jc w:val="both"/>
        <w:rPr>
          <w:rFonts w:ascii="Times New Roman" w:hAnsi="Times New Roman" w:cs="Times New Roman"/>
          <w:sz w:val="24"/>
          <w:szCs w:val="24"/>
        </w:rPr>
      </w:pPr>
    </w:p>
    <w:p w:rsidR="00B10F4D" w:rsidRPr="00282692" w:rsidRDefault="00B10F4D" w:rsidP="00282692">
      <w:pPr>
        <w:spacing w:after="0" w:line="240" w:lineRule="auto"/>
        <w:ind w:firstLine="720"/>
        <w:jc w:val="both"/>
        <w:rPr>
          <w:rFonts w:ascii="Times New Roman" w:hAnsi="Times New Roman" w:cs="Times New Roman"/>
          <w:sz w:val="24"/>
          <w:szCs w:val="24"/>
        </w:rPr>
      </w:pPr>
    </w:p>
    <w:p w:rsidR="004B4629" w:rsidRPr="00282692" w:rsidRDefault="00725F9A" w:rsidP="00282692">
      <w:pPr>
        <w:spacing w:after="0" w:line="240" w:lineRule="auto"/>
        <w:jc w:val="both"/>
        <w:rPr>
          <w:rFonts w:ascii="Times New Roman" w:hAnsi="Times New Roman" w:cs="Times New Roman"/>
          <w:b/>
          <w:sz w:val="24"/>
          <w:szCs w:val="24"/>
        </w:rPr>
      </w:pPr>
      <w:r w:rsidRPr="00282692">
        <w:rPr>
          <w:rFonts w:ascii="Times New Roman" w:hAnsi="Times New Roman" w:cs="Times New Roman"/>
          <w:b/>
          <w:sz w:val="24"/>
          <w:szCs w:val="24"/>
        </w:rPr>
        <w:t>3.</w:t>
      </w:r>
      <w:r w:rsidR="00F44643" w:rsidRPr="00282692">
        <w:rPr>
          <w:rFonts w:ascii="Times New Roman" w:hAnsi="Times New Roman" w:cs="Times New Roman"/>
          <w:b/>
          <w:sz w:val="24"/>
          <w:szCs w:val="24"/>
        </w:rPr>
        <w:t xml:space="preserve"> Διαπίστωση δεσπόζουσας θέσης</w:t>
      </w:r>
    </w:p>
    <w:p w:rsidR="00F44643" w:rsidRPr="00282692" w:rsidRDefault="00F44643" w:rsidP="00282692">
      <w:pPr>
        <w:spacing w:after="0" w:line="240" w:lineRule="auto"/>
        <w:jc w:val="both"/>
        <w:rPr>
          <w:rFonts w:ascii="Times New Roman" w:hAnsi="Times New Roman" w:cs="Times New Roman"/>
          <w:b/>
          <w:sz w:val="24"/>
          <w:szCs w:val="24"/>
        </w:rPr>
      </w:pPr>
    </w:p>
    <w:p w:rsidR="00F44643" w:rsidRPr="00282692" w:rsidRDefault="00F44643"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b/>
          <w:sz w:val="24"/>
          <w:szCs w:val="24"/>
        </w:rPr>
        <w:tab/>
      </w:r>
      <w:r w:rsidR="00B94A5E" w:rsidRPr="00282692">
        <w:rPr>
          <w:rFonts w:ascii="Times New Roman" w:hAnsi="Times New Roman" w:cs="Times New Roman"/>
          <w:sz w:val="24"/>
          <w:szCs w:val="24"/>
        </w:rPr>
        <w:t xml:space="preserve">Σύμφωνα με τον κλασικό ορισμό που διατύπωσε το ΔΕΕ </w:t>
      </w:r>
      <w:r w:rsidR="00D97DF1" w:rsidRPr="00282692">
        <w:rPr>
          <w:rFonts w:ascii="Times New Roman" w:hAnsi="Times New Roman" w:cs="Times New Roman"/>
          <w:sz w:val="24"/>
          <w:szCs w:val="24"/>
        </w:rPr>
        <w:t xml:space="preserve">στην απόφαση </w:t>
      </w:r>
      <w:r w:rsidR="00D97DF1" w:rsidRPr="00282692">
        <w:rPr>
          <w:rFonts w:ascii="Times New Roman" w:hAnsi="Times New Roman" w:cs="Times New Roman"/>
          <w:i/>
          <w:sz w:val="24"/>
          <w:szCs w:val="24"/>
          <w:lang w:val="en-US"/>
        </w:rPr>
        <w:t>Hoffmann</w:t>
      </w:r>
      <w:r w:rsidR="00D97DF1" w:rsidRPr="00282692">
        <w:rPr>
          <w:rFonts w:ascii="Times New Roman" w:hAnsi="Times New Roman" w:cs="Times New Roman"/>
          <w:i/>
          <w:sz w:val="24"/>
          <w:szCs w:val="24"/>
        </w:rPr>
        <w:t>-</w:t>
      </w:r>
      <w:r w:rsidR="00D97DF1" w:rsidRPr="00282692">
        <w:rPr>
          <w:rFonts w:ascii="Times New Roman" w:hAnsi="Times New Roman" w:cs="Times New Roman"/>
          <w:i/>
          <w:sz w:val="24"/>
          <w:szCs w:val="24"/>
          <w:lang w:val="en-US"/>
        </w:rPr>
        <w:t>LaRoche</w:t>
      </w:r>
      <w:r w:rsidR="00B94A5E" w:rsidRPr="00282692">
        <w:rPr>
          <w:rFonts w:ascii="Times New Roman" w:hAnsi="Times New Roman" w:cs="Times New Roman"/>
          <w:sz w:val="24"/>
          <w:szCs w:val="24"/>
        </w:rPr>
        <w:t>, η δεσπόζουσα θέση που αναφέρεται στο άρθρο 102 ΣΛΕΕ «αφορά την κατάσταση οικονομικής ισχύος μιας επιχειρήσεως, που της δίνει την εξουσία να εμποδίζει τη διατήρηση αποτελεσματικού ανταγωνισμού στην εν λόγω αγορά, παρέχοντας της τη δυνατότητα να συμπεριφέρεται σε σημαντική έκταση ανεξάρτητα έναντι των ανταγωνιστών, των πελατών της και, τελικά, των καταναλωτών.»</w:t>
      </w:r>
      <w:r w:rsidR="00B94A5E" w:rsidRPr="00282692">
        <w:rPr>
          <w:rStyle w:val="FootnoteReference"/>
          <w:rFonts w:ascii="Times New Roman" w:hAnsi="Times New Roman" w:cs="Times New Roman"/>
          <w:sz w:val="24"/>
          <w:szCs w:val="24"/>
        </w:rPr>
        <w:footnoteReference w:id="63"/>
      </w:r>
    </w:p>
    <w:p w:rsidR="00D97DF1" w:rsidRPr="00282692" w:rsidRDefault="00D97DF1"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Βάσει του παραπάνω ορισμού, το Δικαστήριο δείχνει να αντιλαμβάνεται την κατοχή δεσπόζουσας θέσης ως κατάσταση στην οποία μια επιχείρηση κατέχει «</w:t>
      </w:r>
      <w:r w:rsidRPr="007077FD">
        <w:rPr>
          <w:rFonts w:ascii="Times New Roman" w:hAnsi="Times New Roman" w:cs="Times New Roman"/>
          <w:b/>
          <w:sz w:val="24"/>
          <w:szCs w:val="24"/>
        </w:rPr>
        <w:t>οικονομική ισχύ</w:t>
      </w:r>
      <w:r w:rsidRPr="00282692">
        <w:rPr>
          <w:rFonts w:ascii="Times New Roman" w:hAnsi="Times New Roman" w:cs="Times New Roman"/>
          <w:sz w:val="24"/>
          <w:szCs w:val="24"/>
        </w:rPr>
        <w:t>» και, επιπλέον, έχει «</w:t>
      </w:r>
      <w:r w:rsidRPr="007077FD">
        <w:rPr>
          <w:rFonts w:ascii="Times New Roman" w:hAnsi="Times New Roman" w:cs="Times New Roman"/>
          <w:b/>
          <w:sz w:val="24"/>
          <w:szCs w:val="24"/>
        </w:rPr>
        <w:t>την ικανότητα να χρεώνει υπερβολικά υψηλές τιμές</w:t>
      </w:r>
      <w:r w:rsidRPr="00282692">
        <w:rPr>
          <w:rFonts w:ascii="Times New Roman" w:hAnsi="Times New Roman" w:cs="Times New Roman"/>
          <w:sz w:val="24"/>
          <w:szCs w:val="24"/>
        </w:rPr>
        <w:t>».</w:t>
      </w:r>
      <w:r w:rsidR="000A2F48" w:rsidRPr="00282692">
        <w:rPr>
          <w:rFonts w:ascii="Times New Roman" w:hAnsi="Times New Roman" w:cs="Times New Roman"/>
          <w:sz w:val="24"/>
          <w:szCs w:val="24"/>
        </w:rPr>
        <w:tab/>
      </w:r>
    </w:p>
    <w:p w:rsidR="000F4D92" w:rsidRPr="00282692" w:rsidRDefault="00AE34EC"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Ο παραπάνω ορισμός διασαφηνίστηκε περαιτέρω από το ΔΕΕ </w:t>
      </w:r>
      <w:r w:rsidR="00D97DF1" w:rsidRPr="00282692">
        <w:rPr>
          <w:rFonts w:ascii="Times New Roman" w:hAnsi="Times New Roman" w:cs="Times New Roman"/>
          <w:sz w:val="24"/>
          <w:szCs w:val="24"/>
        </w:rPr>
        <w:t xml:space="preserve">κατά τη δεκαετία του 1990. Στην απόφαση </w:t>
      </w:r>
      <w:proofErr w:type="spellStart"/>
      <w:r w:rsidR="00D97DF1" w:rsidRPr="00282692">
        <w:rPr>
          <w:rFonts w:ascii="Times New Roman" w:hAnsi="Times New Roman" w:cs="Times New Roman"/>
          <w:i/>
          <w:sz w:val="24"/>
          <w:szCs w:val="24"/>
          <w:lang w:val="en-US"/>
        </w:rPr>
        <w:t>Gottrup</w:t>
      </w:r>
      <w:proofErr w:type="spellEnd"/>
      <w:r w:rsidR="00D97DF1" w:rsidRPr="00282692">
        <w:rPr>
          <w:rFonts w:ascii="Times New Roman" w:hAnsi="Times New Roman" w:cs="Times New Roman"/>
          <w:i/>
          <w:sz w:val="24"/>
          <w:szCs w:val="24"/>
        </w:rPr>
        <w:t>-</w:t>
      </w:r>
      <w:proofErr w:type="spellStart"/>
      <w:r w:rsidR="00D97DF1" w:rsidRPr="00282692">
        <w:rPr>
          <w:rFonts w:ascii="Times New Roman" w:hAnsi="Times New Roman" w:cs="Times New Roman"/>
          <w:i/>
          <w:sz w:val="24"/>
          <w:szCs w:val="24"/>
          <w:lang w:val="en-US"/>
        </w:rPr>
        <w:t>Klim</w:t>
      </w:r>
      <w:proofErr w:type="spellEnd"/>
      <w:r w:rsidR="00D97DF1" w:rsidRPr="00282692">
        <w:rPr>
          <w:rFonts w:ascii="Times New Roman" w:hAnsi="Times New Roman" w:cs="Times New Roman"/>
          <w:sz w:val="24"/>
          <w:szCs w:val="24"/>
        </w:rPr>
        <w:t xml:space="preserve">, </w:t>
      </w:r>
      <w:r w:rsidR="000F4D92" w:rsidRPr="00282692">
        <w:rPr>
          <w:rFonts w:ascii="Times New Roman" w:hAnsi="Times New Roman" w:cs="Times New Roman"/>
          <w:sz w:val="24"/>
          <w:szCs w:val="24"/>
        </w:rPr>
        <w:t>το ΔΕΕ πρόσθεσε ότι «η ύπαρξη δεσπόζουσας θέσεως προκύπτει εν γένει από τη συνδρομή πολλών παραγόντων, οι οποίοι, λαμβανόμενοι μεμονωμένα, δεν θα ήταν κατ' ανάγκη καθοριστικοί.»</w:t>
      </w:r>
      <w:r w:rsidR="000F4D92" w:rsidRPr="00282692">
        <w:rPr>
          <w:rStyle w:val="FootnoteReference"/>
          <w:rFonts w:ascii="Times New Roman" w:hAnsi="Times New Roman" w:cs="Times New Roman"/>
          <w:sz w:val="24"/>
          <w:szCs w:val="24"/>
        </w:rPr>
        <w:footnoteReference w:id="64"/>
      </w:r>
    </w:p>
    <w:p w:rsidR="00F54917" w:rsidRPr="00282692" w:rsidRDefault="00D8442B"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Ο σημαντικότερος παράγοντας που λαμβάνεται υπόψη από τα ενωσιακά δικαστήρια και την Επιτροπή για τη διαπίστωση της κατοχής δεσπόζουσας θέσης εκ μέρους μιας επιχείρησης είναι το μερίδιο που η επιχείρηση αυτή κατέχει στην προσδιορισθείσα σχετική αγορά. Μια επιχείρηση που κατέχει υψηλό ή πολύ υψηλό μερίδιο στη σχετική</w:t>
      </w:r>
      <w:r w:rsidR="005A0788" w:rsidRPr="00282692">
        <w:rPr>
          <w:rFonts w:ascii="Times New Roman" w:hAnsi="Times New Roman" w:cs="Times New Roman"/>
          <w:sz w:val="24"/>
          <w:szCs w:val="24"/>
        </w:rPr>
        <w:t xml:space="preserve"> αγορά </w:t>
      </w:r>
      <w:r w:rsidRPr="00282692">
        <w:rPr>
          <w:rFonts w:ascii="Times New Roman" w:hAnsi="Times New Roman" w:cs="Times New Roman"/>
          <w:sz w:val="24"/>
          <w:szCs w:val="24"/>
        </w:rPr>
        <w:t>σ</w:t>
      </w:r>
      <w:r w:rsidR="005A0788" w:rsidRPr="00282692">
        <w:rPr>
          <w:rFonts w:ascii="Times New Roman" w:hAnsi="Times New Roman" w:cs="Times New Roman"/>
          <w:sz w:val="24"/>
          <w:szCs w:val="24"/>
        </w:rPr>
        <w:t xml:space="preserve">την οποία εξετάζεται αν η επιχείρηση αυτή κατέχει δεσπόζουσα θέση τεκμαίρεται ότι κατέχει δεσπόζουσα θέση στην αγορά αυτή </w:t>
      </w:r>
      <w:r w:rsidR="006901ED" w:rsidRPr="00282692">
        <w:rPr>
          <w:rFonts w:ascii="Times New Roman" w:hAnsi="Times New Roman" w:cs="Times New Roman"/>
          <w:sz w:val="24"/>
          <w:szCs w:val="24"/>
        </w:rPr>
        <w:t xml:space="preserve">και το τεκμήριο αυτό μπορεί να καταρριφθεί μόνο σε εξαιρετικές περιστάσεις. </w:t>
      </w:r>
      <w:r w:rsidRPr="00CA02FC">
        <w:rPr>
          <w:rFonts w:ascii="Times New Roman" w:hAnsi="Times New Roman" w:cs="Times New Roman"/>
          <w:b/>
          <w:sz w:val="24"/>
          <w:szCs w:val="24"/>
          <w:u w:val="single"/>
        </w:rPr>
        <w:t>Η θέση αυτή εκφράζει την οικονομικής φύσης αντίληψη ότι μια επιχείρηση που κατέχει μονοπωλιακή ή σχεδόν μονοπωλιακή ή οιονεί μονοπωλιακή θέση στην αγορά είναι σε θέση να καθορίσει τις τιμές της ή/και να μειώσει την παραγωγή της, χωρίς να πιέζεται από τις συνθήκες της αγοράς.</w:t>
      </w:r>
      <w:r w:rsidRPr="00282692">
        <w:rPr>
          <w:rFonts w:ascii="Times New Roman" w:hAnsi="Times New Roman" w:cs="Times New Roman"/>
          <w:sz w:val="24"/>
          <w:szCs w:val="24"/>
        </w:rPr>
        <w:t xml:space="preserve"> Σύμφωνα με την οικονομική θεωρία, μια τέτοια κατάσταση συνεπάγεται τη μείωση της ευημερίας συνολικά και της ευημερίας του καταναλωτή ειδικότερα, ενώ επιπλέον βλάπτει την οικο</w:t>
      </w:r>
      <w:r w:rsidR="007077FD">
        <w:rPr>
          <w:rFonts w:ascii="Times New Roman" w:hAnsi="Times New Roman" w:cs="Times New Roman"/>
          <w:sz w:val="24"/>
          <w:szCs w:val="24"/>
        </w:rPr>
        <w:t>νομία γενικά προκαλώντας απώλειε</w:t>
      </w:r>
      <w:r w:rsidRPr="00282692">
        <w:rPr>
          <w:rFonts w:ascii="Times New Roman" w:hAnsi="Times New Roman" w:cs="Times New Roman"/>
          <w:sz w:val="24"/>
          <w:szCs w:val="24"/>
        </w:rPr>
        <w:t>ς αποτελεσματικότητας.</w:t>
      </w:r>
    </w:p>
    <w:p w:rsidR="006901ED" w:rsidRPr="00282692" w:rsidRDefault="00D8442B"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Συναφώς επισημαίνεται ότι, σύμφωνα με την ενωσιακή νομολογία, </w:t>
      </w:r>
      <w:r w:rsidR="00F54917" w:rsidRPr="00282692">
        <w:rPr>
          <w:rFonts w:ascii="Times New Roman" w:hAnsi="Times New Roman" w:cs="Times New Roman"/>
          <w:sz w:val="24"/>
          <w:szCs w:val="24"/>
        </w:rPr>
        <w:t>για τη διαπίστωση</w:t>
      </w:r>
      <w:r w:rsidR="00CA02FC">
        <w:rPr>
          <w:rFonts w:ascii="Times New Roman" w:hAnsi="Times New Roman" w:cs="Times New Roman"/>
          <w:sz w:val="24"/>
          <w:szCs w:val="24"/>
        </w:rPr>
        <w:t xml:space="preserve"> ότι η κρινόμενη επιχείρηση κατέχει</w:t>
      </w:r>
      <w:r w:rsidR="00F54917" w:rsidRPr="00282692">
        <w:rPr>
          <w:rFonts w:ascii="Times New Roman" w:hAnsi="Times New Roman" w:cs="Times New Roman"/>
          <w:sz w:val="24"/>
          <w:szCs w:val="24"/>
        </w:rPr>
        <w:t xml:space="preserve"> δεσπόζουσα θέση, π</w:t>
      </w:r>
      <w:r w:rsidR="00CA02FC">
        <w:rPr>
          <w:rFonts w:ascii="Times New Roman" w:hAnsi="Times New Roman" w:cs="Times New Roman"/>
          <w:sz w:val="24"/>
          <w:szCs w:val="24"/>
        </w:rPr>
        <w:t xml:space="preserve">ρέπει η επιχείρηση αυτή </w:t>
      </w:r>
      <w:r w:rsidR="00CA02FC" w:rsidRPr="00CA02FC">
        <w:rPr>
          <w:rFonts w:ascii="Times New Roman" w:hAnsi="Times New Roman" w:cs="Times New Roman"/>
          <w:b/>
          <w:sz w:val="24"/>
          <w:szCs w:val="24"/>
          <w:u w:val="single"/>
        </w:rPr>
        <w:t>να κατέ</w:t>
      </w:r>
      <w:r w:rsidR="00F54917" w:rsidRPr="00CA02FC">
        <w:rPr>
          <w:rFonts w:ascii="Times New Roman" w:hAnsi="Times New Roman" w:cs="Times New Roman"/>
          <w:b/>
          <w:sz w:val="24"/>
          <w:szCs w:val="24"/>
          <w:u w:val="single"/>
        </w:rPr>
        <w:t>χε</w:t>
      </w:r>
      <w:r w:rsidR="00CA02FC" w:rsidRPr="00CA02FC">
        <w:rPr>
          <w:rFonts w:ascii="Times New Roman" w:hAnsi="Times New Roman" w:cs="Times New Roman"/>
          <w:b/>
          <w:sz w:val="24"/>
          <w:szCs w:val="24"/>
          <w:u w:val="single"/>
        </w:rPr>
        <w:t>ι</w:t>
      </w:r>
      <w:r w:rsidR="00F54917" w:rsidRPr="00CA02FC">
        <w:rPr>
          <w:rFonts w:ascii="Times New Roman" w:hAnsi="Times New Roman" w:cs="Times New Roman"/>
          <w:b/>
          <w:sz w:val="24"/>
          <w:szCs w:val="24"/>
          <w:u w:val="single"/>
        </w:rPr>
        <w:t xml:space="preserve"> υψηλό ή πολύ υψηλό μερίδιο αγοράς για ορισμένο χρονικό διάστημα</w:t>
      </w:r>
      <w:r w:rsidR="00F54917" w:rsidRPr="00282692">
        <w:rPr>
          <w:rFonts w:ascii="Times New Roman" w:hAnsi="Times New Roman" w:cs="Times New Roman"/>
          <w:sz w:val="24"/>
          <w:szCs w:val="24"/>
        </w:rPr>
        <w:t>. Στη νομολογία απαντώνται οι εκφράσεις «περίοδο κάποιας διάρκειας»</w:t>
      </w:r>
      <w:r w:rsidR="00F54917" w:rsidRPr="00282692">
        <w:rPr>
          <w:rStyle w:val="FootnoteReference"/>
          <w:rFonts w:ascii="Times New Roman" w:hAnsi="Times New Roman" w:cs="Times New Roman"/>
          <w:sz w:val="24"/>
          <w:szCs w:val="24"/>
        </w:rPr>
        <w:footnoteReference w:id="65"/>
      </w:r>
      <w:r w:rsidR="00F54917" w:rsidRPr="00282692">
        <w:rPr>
          <w:rFonts w:ascii="Times New Roman" w:hAnsi="Times New Roman" w:cs="Times New Roman"/>
          <w:sz w:val="24"/>
          <w:szCs w:val="24"/>
        </w:rPr>
        <w:t>, «καθ’ όλη τη διάρκεια της περιόδου αναφοράς»</w:t>
      </w:r>
      <w:r w:rsidR="002B05CF" w:rsidRPr="00282692">
        <w:rPr>
          <w:rStyle w:val="FootnoteReference"/>
          <w:rFonts w:ascii="Times New Roman" w:hAnsi="Times New Roman" w:cs="Times New Roman"/>
          <w:sz w:val="24"/>
          <w:szCs w:val="24"/>
        </w:rPr>
        <w:footnoteReference w:id="66"/>
      </w:r>
      <w:r w:rsidR="00F54917" w:rsidRPr="00282692">
        <w:rPr>
          <w:rFonts w:ascii="Times New Roman" w:hAnsi="Times New Roman" w:cs="Times New Roman"/>
          <w:sz w:val="24"/>
          <w:szCs w:val="24"/>
        </w:rPr>
        <w:t xml:space="preserve"> και «επί σχετικά </w:t>
      </w:r>
      <w:r w:rsidR="00F54917" w:rsidRPr="00282692">
        <w:rPr>
          <w:rFonts w:ascii="Times New Roman" w:hAnsi="Times New Roman" w:cs="Times New Roman"/>
          <w:sz w:val="24"/>
          <w:szCs w:val="24"/>
        </w:rPr>
        <w:lastRenderedPageBreak/>
        <w:t>μεγάλες περιόδους»</w:t>
      </w:r>
      <w:r w:rsidR="00F54917" w:rsidRPr="00282692">
        <w:rPr>
          <w:rStyle w:val="FootnoteReference"/>
          <w:rFonts w:ascii="Times New Roman" w:hAnsi="Times New Roman" w:cs="Times New Roman"/>
          <w:sz w:val="24"/>
          <w:szCs w:val="24"/>
        </w:rPr>
        <w:footnoteReference w:id="67"/>
      </w:r>
      <w:r w:rsidR="00F54917" w:rsidRPr="00282692">
        <w:rPr>
          <w:rFonts w:ascii="Times New Roman" w:hAnsi="Times New Roman" w:cs="Times New Roman"/>
          <w:sz w:val="24"/>
          <w:szCs w:val="24"/>
        </w:rPr>
        <w:t>.</w:t>
      </w:r>
      <w:r w:rsidR="002B05CF" w:rsidRPr="00282692">
        <w:rPr>
          <w:rFonts w:ascii="Times New Roman" w:hAnsi="Times New Roman" w:cs="Times New Roman"/>
          <w:sz w:val="24"/>
          <w:szCs w:val="24"/>
        </w:rPr>
        <w:t xml:space="preserve"> Επιπλέον, όπως έχουν κρίνει τα ενωσιακά δικαστήρια, </w:t>
      </w:r>
      <w:r w:rsidR="005A0788" w:rsidRPr="00282692">
        <w:rPr>
          <w:rFonts w:ascii="Times New Roman" w:hAnsi="Times New Roman" w:cs="Times New Roman"/>
          <w:sz w:val="24"/>
          <w:szCs w:val="24"/>
        </w:rPr>
        <w:t xml:space="preserve">η κατοχή ενός </w:t>
      </w:r>
      <w:r w:rsidR="008A39AF" w:rsidRPr="00282692">
        <w:rPr>
          <w:rFonts w:ascii="Times New Roman" w:hAnsi="Times New Roman" w:cs="Times New Roman"/>
          <w:sz w:val="24"/>
          <w:szCs w:val="24"/>
        </w:rPr>
        <w:t>μεριδίου</w:t>
      </w:r>
      <w:r w:rsidR="005A0788" w:rsidRPr="00282692">
        <w:rPr>
          <w:rFonts w:ascii="Times New Roman" w:hAnsi="Times New Roman" w:cs="Times New Roman"/>
          <w:sz w:val="24"/>
          <w:szCs w:val="24"/>
        </w:rPr>
        <w:t xml:space="preserve"> 70% - 80% στη σχετική αγορά</w:t>
      </w:r>
      <w:r w:rsidR="008A39AF" w:rsidRPr="00282692">
        <w:rPr>
          <w:rFonts w:ascii="Times New Roman" w:hAnsi="Times New Roman" w:cs="Times New Roman"/>
          <w:sz w:val="24"/>
          <w:szCs w:val="24"/>
        </w:rPr>
        <w:t xml:space="preserve"> κρίνεται, αυτή καθαυτή, ως σαφής ένδειξη ύπαρξης δεσπόζουσας θέσης στην αγορά αυτή</w:t>
      </w:r>
      <w:r w:rsidR="00597158" w:rsidRPr="00282692">
        <w:rPr>
          <w:rStyle w:val="FootnoteReference"/>
          <w:rFonts w:ascii="Times New Roman" w:hAnsi="Times New Roman" w:cs="Times New Roman"/>
          <w:sz w:val="24"/>
          <w:szCs w:val="24"/>
        </w:rPr>
        <w:footnoteReference w:id="68"/>
      </w:r>
      <w:r w:rsidR="002B05CF" w:rsidRPr="00282692">
        <w:rPr>
          <w:rFonts w:ascii="Times New Roman" w:hAnsi="Times New Roman" w:cs="Times New Roman"/>
          <w:sz w:val="24"/>
          <w:szCs w:val="24"/>
        </w:rPr>
        <w:t>. Εξάλλου</w:t>
      </w:r>
      <w:r w:rsidR="008A39AF" w:rsidRPr="00282692">
        <w:rPr>
          <w:rFonts w:ascii="Times New Roman" w:hAnsi="Times New Roman" w:cs="Times New Roman"/>
          <w:sz w:val="24"/>
          <w:szCs w:val="24"/>
        </w:rPr>
        <w:t>, ως απόδειξη της κατοχής δεσπόζουσας θέσης, πλην της συνδρομής εξαιρετικών περιστάσεων, κρίθηκε και μερίδιο αγοράς της τάξης του 50%</w:t>
      </w:r>
      <w:r w:rsidR="00597158" w:rsidRPr="00282692">
        <w:rPr>
          <w:rStyle w:val="FootnoteReference"/>
          <w:rFonts w:ascii="Times New Roman" w:hAnsi="Times New Roman" w:cs="Times New Roman"/>
          <w:sz w:val="24"/>
          <w:szCs w:val="24"/>
        </w:rPr>
        <w:footnoteReference w:id="69"/>
      </w:r>
      <w:r w:rsidR="008A39AF" w:rsidRPr="00282692">
        <w:rPr>
          <w:rFonts w:ascii="Times New Roman" w:hAnsi="Times New Roman" w:cs="Times New Roman"/>
          <w:sz w:val="24"/>
          <w:szCs w:val="24"/>
        </w:rPr>
        <w:t>.</w:t>
      </w:r>
    </w:p>
    <w:p w:rsidR="005C34B5" w:rsidRPr="00282692" w:rsidRDefault="006901ED"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Ωστόσο, όπως συνάγεται και από το Έγγραφο Καθοδήγησης </w:t>
      </w:r>
      <w:r w:rsidR="00C94140" w:rsidRPr="00282692">
        <w:rPr>
          <w:rFonts w:ascii="Times New Roman" w:hAnsi="Times New Roman" w:cs="Times New Roman"/>
          <w:sz w:val="24"/>
          <w:szCs w:val="24"/>
        </w:rPr>
        <w:t xml:space="preserve">της Επιτροπής </w:t>
      </w:r>
      <w:r w:rsidRPr="00282692">
        <w:rPr>
          <w:rFonts w:ascii="Times New Roman" w:hAnsi="Times New Roman" w:cs="Times New Roman"/>
          <w:sz w:val="24"/>
          <w:szCs w:val="24"/>
        </w:rPr>
        <w:t>ως προς την εφαρμογή του άρθρου 82 ΣυνθΕΚ (ήδη άρθρου 102 ΣΛΕΕ)</w:t>
      </w:r>
      <w:r w:rsidR="00A5424F" w:rsidRPr="00282692">
        <w:rPr>
          <w:rStyle w:val="FootnoteReference"/>
          <w:rFonts w:ascii="Times New Roman" w:hAnsi="Times New Roman" w:cs="Times New Roman"/>
          <w:sz w:val="24"/>
          <w:szCs w:val="24"/>
        </w:rPr>
        <w:footnoteReference w:id="70"/>
      </w:r>
      <w:r w:rsidRPr="00282692">
        <w:rPr>
          <w:rFonts w:ascii="Times New Roman" w:hAnsi="Times New Roman" w:cs="Times New Roman"/>
          <w:sz w:val="24"/>
          <w:szCs w:val="24"/>
        </w:rPr>
        <w:t xml:space="preserve">, το μερίδιο αγοράς </w:t>
      </w:r>
      <w:r w:rsidRPr="00CA02FC">
        <w:rPr>
          <w:rFonts w:ascii="Times New Roman" w:hAnsi="Times New Roman" w:cs="Times New Roman"/>
          <w:b/>
          <w:sz w:val="24"/>
          <w:szCs w:val="24"/>
        </w:rPr>
        <w:t>αποτελεί το πρώτο</w:t>
      </w:r>
      <w:r w:rsidRPr="00282692">
        <w:rPr>
          <w:rFonts w:ascii="Times New Roman" w:hAnsi="Times New Roman" w:cs="Times New Roman"/>
          <w:sz w:val="24"/>
          <w:szCs w:val="24"/>
        </w:rPr>
        <w:t xml:space="preserve"> όχι όμως και το </w:t>
      </w:r>
      <w:r w:rsidR="005057DA" w:rsidRPr="00282692">
        <w:rPr>
          <w:rFonts w:ascii="Times New Roman" w:hAnsi="Times New Roman" w:cs="Times New Roman"/>
          <w:sz w:val="24"/>
          <w:szCs w:val="24"/>
        </w:rPr>
        <w:t>μοναδικό</w:t>
      </w:r>
      <w:r w:rsidR="00C94140" w:rsidRPr="00282692">
        <w:rPr>
          <w:rFonts w:ascii="Times New Roman" w:hAnsi="Times New Roman" w:cs="Times New Roman"/>
          <w:sz w:val="24"/>
          <w:szCs w:val="24"/>
        </w:rPr>
        <w:t xml:space="preserve"> κριτήριο</w:t>
      </w:r>
      <w:r w:rsidR="005057DA" w:rsidRPr="00282692">
        <w:rPr>
          <w:rFonts w:ascii="Times New Roman" w:hAnsi="Times New Roman" w:cs="Times New Roman"/>
          <w:sz w:val="24"/>
          <w:szCs w:val="24"/>
        </w:rPr>
        <w:t xml:space="preserve"> που πρέπει να λαμβάνεται υπόψη</w:t>
      </w:r>
      <w:r w:rsidR="00C94140" w:rsidRPr="00282692">
        <w:rPr>
          <w:rFonts w:ascii="Times New Roman" w:hAnsi="Times New Roman" w:cs="Times New Roman"/>
          <w:sz w:val="24"/>
          <w:szCs w:val="24"/>
        </w:rPr>
        <w:t xml:space="preserve"> για τη διαπίστωση της κατοχής δεσπόζουσας θέση</w:t>
      </w:r>
      <w:r w:rsidR="00A5424F" w:rsidRPr="00282692">
        <w:rPr>
          <w:rFonts w:ascii="Times New Roman" w:hAnsi="Times New Roman" w:cs="Times New Roman"/>
          <w:sz w:val="24"/>
          <w:szCs w:val="24"/>
        </w:rPr>
        <w:t xml:space="preserve">ς από μια επιχείρηση. </w:t>
      </w:r>
      <w:r w:rsidR="00A5424F" w:rsidRPr="00CA02FC">
        <w:rPr>
          <w:rFonts w:ascii="Times New Roman" w:hAnsi="Times New Roman" w:cs="Times New Roman"/>
          <w:b/>
          <w:sz w:val="24"/>
          <w:szCs w:val="24"/>
        </w:rPr>
        <w:t>Οι φραγμοί</w:t>
      </w:r>
      <w:r w:rsidR="00C94140" w:rsidRPr="00CA02FC">
        <w:rPr>
          <w:rFonts w:ascii="Times New Roman" w:hAnsi="Times New Roman" w:cs="Times New Roman"/>
          <w:b/>
          <w:sz w:val="24"/>
          <w:szCs w:val="24"/>
        </w:rPr>
        <w:t xml:space="preserve"> εισόδου στην αγορά αλλά και άλλοι παράγοντες</w:t>
      </w:r>
      <w:r w:rsidR="005057DA" w:rsidRPr="00282692">
        <w:rPr>
          <w:rFonts w:ascii="Times New Roman" w:hAnsi="Times New Roman" w:cs="Times New Roman"/>
          <w:sz w:val="24"/>
          <w:szCs w:val="24"/>
        </w:rPr>
        <w:t xml:space="preserve">πρέπει επίσης να εκτιμώνται </w:t>
      </w:r>
      <w:r w:rsidR="00C94140" w:rsidRPr="00282692">
        <w:rPr>
          <w:rFonts w:ascii="Times New Roman" w:hAnsi="Times New Roman" w:cs="Times New Roman"/>
          <w:sz w:val="24"/>
          <w:szCs w:val="24"/>
        </w:rPr>
        <w:t>μετά τον προσδιορισμό του μεριδίου αγοράς που κατέχει η κρινόμενη επιχείρηση.</w:t>
      </w:r>
      <w:r w:rsidR="00A5424F" w:rsidRPr="00282692">
        <w:rPr>
          <w:rFonts w:ascii="Times New Roman" w:hAnsi="Times New Roman" w:cs="Times New Roman"/>
          <w:sz w:val="24"/>
          <w:szCs w:val="24"/>
        </w:rPr>
        <w:t xml:space="preserve"> Πιο συγκεκριμένα, ήδη στην απόφαση </w:t>
      </w:r>
      <w:r w:rsidR="00A5424F" w:rsidRPr="00282692">
        <w:rPr>
          <w:rFonts w:ascii="Times New Roman" w:hAnsi="Times New Roman" w:cs="Times New Roman"/>
          <w:i/>
          <w:sz w:val="24"/>
          <w:szCs w:val="24"/>
          <w:lang w:val="en-US"/>
        </w:rPr>
        <w:t>Hoffmann</w:t>
      </w:r>
      <w:r w:rsidR="00A5424F" w:rsidRPr="00282692">
        <w:rPr>
          <w:rFonts w:ascii="Times New Roman" w:hAnsi="Times New Roman" w:cs="Times New Roman"/>
          <w:i/>
          <w:sz w:val="24"/>
          <w:szCs w:val="24"/>
        </w:rPr>
        <w:t>-</w:t>
      </w:r>
      <w:r w:rsidR="00A5424F" w:rsidRPr="00282692">
        <w:rPr>
          <w:rFonts w:ascii="Times New Roman" w:hAnsi="Times New Roman" w:cs="Times New Roman"/>
          <w:i/>
          <w:sz w:val="24"/>
          <w:szCs w:val="24"/>
          <w:lang w:val="en-US"/>
        </w:rPr>
        <w:t>LaRoche</w:t>
      </w:r>
      <w:r w:rsidR="00A5424F" w:rsidRPr="00282692">
        <w:rPr>
          <w:rFonts w:ascii="Times New Roman" w:hAnsi="Times New Roman" w:cs="Times New Roman"/>
          <w:sz w:val="24"/>
          <w:szCs w:val="24"/>
        </w:rPr>
        <w:t xml:space="preserve">, καταγράφονται τρεις άλλοι – πέρα από το μερίδιο αγοράς – ουσιώδεις παράγοντες </w:t>
      </w:r>
      <w:r w:rsidR="005C34B5" w:rsidRPr="00282692">
        <w:rPr>
          <w:rFonts w:ascii="Times New Roman" w:hAnsi="Times New Roman" w:cs="Times New Roman"/>
          <w:sz w:val="24"/>
          <w:szCs w:val="24"/>
        </w:rPr>
        <w:t xml:space="preserve">που πρέπει να λαμβάνονται υπόψη για τη διαπίστωση της κατοχής δεσπόζουσας θέσης σε συγκεκριμένη υπόθεση, ήτοι συγκεκριμένα </w:t>
      </w:r>
      <w:r w:rsidR="005C34B5" w:rsidRPr="00CA02FC">
        <w:rPr>
          <w:rFonts w:ascii="Times New Roman" w:hAnsi="Times New Roman" w:cs="Times New Roman"/>
          <w:b/>
          <w:sz w:val="24"/>
          <w:szCs w:val="24"/>
        </w:rPr>
        <w:t>η τεχνολογική υπεροχή</w:t>
      </w:r>
      <w:r w:rsidR="005C34B5" w:rsidRPr="00282692">
        <w:rPr>
          <w:rFonts w:ascii="Times New Roman" w:hAnsi="Times New Roman" w:cs="Times New Roman"/>
          <w:sz w:val="24"/>
          <w:szCs w:val="24"/>
        </w:rPr>
        <w:t xml:space="preserve">, διότι αντιπροσωπεύει τεχνικά πλεονεκτήματα της επιχείρησης, </w:t>
      </w:r>
      <w:r w:rsidR="005C34B5" w:rsidRPr="00CA02FC">
        <w:rPr>
          <w:rFonts w:ascii="Times New Roman" w:hAnsi="Times New Roman" w:cs="Times New Roman"/>
          <w:b/>
          <w:sz w:val="24"/>
          <w:szCs w:val="24"/>
        </w:rPr>
        <w:t>η ύπαρξη ευρέος δικτύου πωλήσεων</w:t>
      </w:r>
      <w:r w:rsidR="005C34B5" w:rsidRPr="00282692">
        <w:rPr>
          <w:rFonts w:ascii="Times New Roman" w:hAnsi="Times New Roman" w:cs="Times New Roman"/>
          <w:sz w:val="24"/>
          <w:szCs w:val="24"/>
        </w:rPr>
        <w:t>, διότι αντιπροσωπεύει εμπορικά πλεονεκτήματα της επιχείρησης</w:t>
      </w:r>
      <w:r w:rsidR="00CA02FC">
        <w:rPr>
          <w:rFonts w:ascii="Times New Roman" w:hAnsi="Times New Roman" w:cs="Times New Roman"/>
          <w:sz w:val="24"/>
          <w:szCs w:val="24"/>
        </w:rPr>
        <w:t>,</w:t>
      </w:r>
      <w:r w:rsidR="005C34B5" w:rsidRPr="00282692">
        <w:rPr>
          <w:rFonts w:ascii="Times New Roman" w:hAnsi="Times New Roman" w:cs="Times New Roman"/>
          <w:sz w:val="24"/>
          <w:szCs w:val="24"/>
        </w:rPr>
        <w:t xml:space="preserve"> και </w:t>
      </w:r>
      <w:r w:rsidR="005C34B5" w:rsidRPr="00CA02FC">
        <w:rPr>
          <w:rFonts w:ascii="Times New Roman" w:hAnsi="Times New Roman" w:cs="Times New Roman"/>
          <w:b/>
          <w:sz w:val="24"/>
          <w:szCs w:val="24"/>
        </w:rPr>
        <w:t>η απουσία δυνητικού ανταγωνισμού</w:t>
      </w:r>
      <w:r w:rsidR="0018358C" w:rsidRPr="00282692">
        <w:rPr>
          <w:rFonts w:ascii="Times New Roman" w:hAnsi="Times New Roman" w:cs="Times New Roman"/>
          <w:sz w:val="24"/>
          <w:szCs w:val="24"/>
        </w:rPr>
        <w:t>, διότι είναι αποτέλεσμα της ύπαρξης φραγμών για την είσοδο νέων ανταγωνιστών στην αγορά</w:t>
      </w:r>
      <w:r w:rsidR="0018358C" w:rsidRPr="00282692">
        <w:rPr>
          <w:rStyle w:val="FootnoteReference"/>
          <w:rFonts w:ascii="Times New Roman" w:hAnsi="Times New Roman" w:cs="Times New Roman"/>
          <w:sz w:val="24"/>
          <w:szCs w:val="24"/>
        </w:rPr>
        <w:footnoteReference w:id="71"/>
      </w:r>
      <w:r w:rsidR="0018358C" w:rsidRPr="00282692">
        <w:rPr>
          <w:rFonts w:ascii="Times New Roman" w:hAnsi="Times New Roman" w:cs="Times New Roman"/>
          <w:sz w:val="24"/>
          <w:szCs w:val="24"/>
        </w:rPr>
        <w:t xml:space="preserve">. Εξάλλου, όπως επιβεβαιώνει η πρόσφατη νομολογία του Γενικού Δικαστηρίου και του Δικαστηρίου, στους παράγοντες που πρέπει να λαμβάνονται υπόψη για να διαπιστωθεί </w:t>
      </w:r>
      <w:r w:rsidR="00094D37" w:rsidRPr="00282692">
        <w:rPr>
          <w:rFonts w:ascii="Times New Roman" w:hAnsi="Times New Roman" w:cs="Times New Roman"/>
          <w:sz w:val="24"/>
          <w:szCs w:val="24"/>
        </w:rPr>
        <w:t xml:space="preserve">η κατοχή δεσπόζουσας θέσης εκ μέρους μιας επιχείρησης περιλαμβάνονται </w:t>
      </w:r>
      <w:r w:rsidR="00094D37" w:rsidRPr="00CA02FC">
        <w:rPr>
          <w:rFonts w:ascii="Times New Roman" w:hAnsi="Times New Roman" w:cs="Times New Roman"/>
          <w:b/>
          <w:sz w:val="24"/>
          <w:szCs w:val="24"/>
        </w:rPr>
        <w:t>η ύπαρξη και η άσκηση δικαιωμάτων διανοητικής ιδιοκτησίας</w:t>
      </w:r>
      <w:r w:rsidR="00094D37" w:rsidRPr="00282692">
        <w:rPr>
          <w:rFonts w:ascii="Times New Roman" w:hAnsi="Times New Roman" w:cs="Times New Roman"/>
          <w:sz w:val="24"/>
          <w:szCs w:val="24"/>
        </w:rPr>
        <w:t xml:space="preserve"> και </w:t>
      </w:r>
      <w:r w:rsidR="00094D37" w:rsidRPr="00CA02FC">
        <w:rPr>
          <w:rFonts w:ascii="Times New Roman" w:hAnsi="Times New Roman" w:cs="Times New Roman"/>
          <w:b/>
          <w:sz w:val="24"/>
          <w:szCs w:val="24"/>
        </w:rPr>
        <w:t>το γεγονός ότι το προϊόν της κρινόμενης επιχείρησης εισήλθε πρώτο στην αγορά</w:t>
      </w:r>
      <w:r w:rsidR="00094D37" w:rsidRPr="00282692">
        <w:rPr>
          <w:rStyle w:val="FootnoteReference"/>
          <w:rFonts w:ascii="Times New Roman" w:hAnsi="Times New Roman" w:cs="Times New Roman"/>
          <w:sz w:val="24"/>
          <w:szCs w:val="24"/>
        </w:rPr>
        <w:footnoteReference w:id="72"/>
      </w:r>
      <w:r w:rsidR="00094D37" w:rsidRPr="00282692">
        <w:rPr>
          <w:rFonts w:ascii="Times New Roman" w:hAnsi="Times New Roman" w:cs="Times New Roman"/>
          <w:sz w:val="24"/>
          <w:szCs w:val="24"/>
        </w:rPr>
        <w:t xml:space="preserve">. </w:t>
      </w:r>
    </w:p>
    <w:p w:rsidR="0020202F" w:rsidRPr="00282692" w:rsidRDefault="00860C53"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r>
      <w:r w:rsidR="00CB081A" w:rsidRPr="00282692">
        <w:rPr>
          <w:rFonts w:ascii="Times New Roman" w:hAnsi="Times New Roman" w:cs="Times New Roman"/>
          <w:sz w:val="24"/>
          <w:szCs w:val="24"/>
        </w:rPr>
        <w:t>Περαιτέρω</w:t>
      </w:r>
      <w:r w:rsidR="00E3029C" w:rsidRPr="00282692">
        <w:rPr>
          <w:rFonts w:ascii="Times New Roman" w:hAnsi="Times New Roman" w:cs="Times New Roman"/>
          <w:sz w:val="24"/>
          <w:szCs w:val="24"/>
        </w:rPr>
        <w:t>,</w:t>
      </w:r>
      <w:r w:rsidR="00094D37" w:rsidRPr="00282692">
        <w:rPr>
          <w:rFonts w:ascii="Times New Roman" w:hAnsi="Times New Roman" w:cs="Times New Roman"/>
          <w:sz w:val="24"/>
          <w:szCs w:val="24"/>
        </w:rPr>
        <w:t xml:space="preserve"> επισημαίνεται ότι,</w:t>
      </w:r>
      <w:r w:rsidR="00E3029C" w:rsidRPr="00282692">
        <w:rPr>
          <w:rFonts w:ascii="Times New Roman" w:hAnsi="Times New Roman" w:cs="Times New Roman"/>
          <w:sz w:val="24"/>
          <w:szCs w:val="24"/>
        </w:rPr>
        <w:t xml:space="preserve"> σε ορισμένες υποθέσεις, </w:t>
      </w:r>
      <w:r w:rsidR="0007142D" w:rsidRPr="00282692">
        <w:rPr>
          <w:rFonts w:ascii="Times New Roman" w:hAnsi="Times New Roman" w:cs="Times New Roman"/>
          <w:sz w:val="24"/>
          <w:szCs w:val="24"/>
        </w:rPr>
        <w:t>η διαπίστωση της ύπαρξης δεσ</w:t>
      </w:r>
      <w:r w:rsidR="00CB081A" w:rsidRPr="00282692">
        <w:rPr>
          <w:rFonts w:ascii="Times New Roman" w:hAnsi="Times New Roman" w:cs="Times New Roman"/>
          <w:sz w:val="24"/>
          <w:szCs w:val="24"/>
        </w:rPr>
        <w:t xml:space="preserve">πόζουσας θέσης ενισχύεται με αιτιολογίες που περιλαμβάνουν οικονομικούς όρους. Χαρακτηριστικό παράδειγμα αποτελεί η απόφαση </w:t>
      </w:r>
      <w:proofErr w:type="spellStart"/>
      <w:r w:rsidR="00CB081A" w:rsidRPr="00282692">
        <w:rPr>
          <w:rFonts w:ascii="Times New Roman" w:hAnsi="Times New Roman" w:cs="Times New Roman"/>
          <w:i/>
          <w:sz w:val="24"/>
          <w:szCs w:val="24"/>
          <w:lang w:val="en-US"/>
        </w:rPr>
        <w:t>Hilti</w:t>
      </w:r>
      <w:proofErr w:type="spellEnd"/>
      <w:r w:rsidR="00CB081A" w:rsidRPr="00282692">
        <w:rPr>
          <w:rFonts w:ascii="Times New Roman" w:hAnsi="Times New Roman" w:cs="Times New Roman"/>
          <w:sz w:val="24"/>
          <w:szCs w:val="24"/>
        </w:rPr>
        <w:t>. Στην απόφαση αυτή, το Γενικό Δικαστήριο</w:t>
      </w:r>
      <w:r w:rsidR="00F764FD" w:rsidRPr="00282692">
        <w:rPr>
          <w:rFonts w:ascii="Times New Roman" w:hAnsi="Times New Roman" w:cs="Times New Roman"/>
          <w:sz w:val="24"/>
          <w:szCs w:val="24"/>
        </w:rPr>
        <w:t xml:space="preserve"> παρατήρησε ότι η </w:t>
      </w:r>
      <w:r w:rsidR="0020202F" w:rsidRPr="00282692">
        <w:rPr>
          <w:rFonts w:ascii="Times New Roman" w:hAnsi="Times New Roman" w:cs="Times New Roman"/>
          <w:sz w:val="24"/>
          <w:szCs w:val="24"/>
        </w:rPr>
        <w:t>ισχυρή</w:t>
      </w:r>
      <w:r w:rsidR="00F764FD" w:rsidRPr="00282692">
        <w:rPr>
          <w:rFonts w:ascii="Times New Roman" w:hAnsi="Times New Roman" w:cs="Times New Roman"/>
          <w:sz w:val="24"/>
          <w:szCs w:val="24"/>
        </w:rPr>
        <w:t xml:space="preserve"> θέση της </w:t>
      </w:r>
      <w:proofErr w:type="spellStart"/>
      <w:r w:rsidR="00F764FD" w:rsidRPr="00282692">
        <w:rPr>
          <w:rFonts w:ascii="Times New Roman" w:hAnsi="Times New Roman" w:cs="Times New Roman"/>
          <w:sz w:val="24"/>
          <w:szCs w:val="24"/>
          <w:lang w:val="en-US"/>
        </w:rPr>
        <w:t>Hilti</w:t>
      </w:r>
      <w:proofErr w:type="spellEnd"/>
      <w:r w:rsidR="0020202F" w:rsidRPr="00282692">
        <w:rPr>
          <w:rFonts w:ascii="Times New Roman" w:hAnsi="Times New Roman" w:cs="Times New Roman"/>
          <w:sz w:val="24"/>
          <w:szCs w:val="24"/>
        </w:rPr>
        <w:t xml:space="preserve"> στις σχετικές αγορές ενισχυόταν «</w:t>
      </w:r>
      <w:r w:rsidR="0020202F" w:rsidRPr="00CA02FC">
        <w:rPr>
          <w:rFonts w:ascii="Times New Roman" w:hAnsi="Times New Roman" w:cs="Times New Roman"/>
          <w:b/>
          <w:sz w:val="24"/>
          <w:szCs w:val="24"/>
        </w:rPr>
        <w:t>από τα διπλώματα ευρεσιτεχνίας που κατείχε</w:t>
      </w:r>
      <w:r w:rsidR="0020202F" w:rsidRPr="00282692">
        <w:rPr>
          <w:rFonts w:ascii="Times New Roman" w:hAnsi="Times New Roman" w:cs="Times New Roman"/>
          <w:sz w:val="24"/>
          <w:szCs w:val="24"/>
        </w:rPr>
        <w:t xml:space="preserve"> τότε για ορισμένα στοιχεία του πιστολιού της DX 450»</w:t>
      </w:r>
      <w:r w:rsidR="00597158" w:rsidRPr="00282692">
        <w:rPr>
          <w:rStyle w:val="FootnoteReference"/>
          <w:rFonts w:ascii="Times New Roman" w:hAnsi="Times New Roman" w:cs="Times New Roman"/>
          <w:sz w:val="24"/>
          <w:szCs w:val="24"/>
        </w:rPr>
        <w:footnoteReference w:id="73"/>
      </w:r>
      <w:r w:rsidR="0020202F" w:rsidRPr="00282692">
        <w:rPr>
          <w:rFonts w:ascii="Times New Roman" w:hAnsi="Times New Roman" w:cs="Times New Roman"/>
          <w:sz w:val="24"/>
          <w:szCs w:val="24"/>
        </w:rPr>
        <w:t xml:space="preserve">. Αξιοσημείωτη είναι, επίσης, και η </w:t>
      </w:r>
      <w:r w:rsidR="008A39AF" w:rsidRPr="00282692">
        <w:rPr>
          <w:rFonts w:ascii="Times New Roman" w:hAnsi="Times New Roman" w:cs="Times New Roman"/>
          <w:sz w:val="24"/>
          <w:szCs w:val="24"/>
        </w:rPr>
        <w:t>περιλαμβανόμενη στην ίδια απόφαση διευκρίνιση</w:t>
      </w:r>
      <w:r w:rsidR="0020202F" w:rsidRPr="00282692">
        <w:rPr>
          <w:rFonts w:ascii="Times New Roman" w:hAnsi="Times New Roman" w:cs="Times New Roman"/>
          <w:sz w:val="24"/>
          <w:szCs w:val="24"/>
        </w:rPr>
        <w:t>, «ότι στην πράξη είναι απίθανο ένας προμηθευτής χωρίς δεσπόζουσα θέση να ενεργήσει όπως η Hilti, δεδομένου ότι ο αποτελεσματικός ανταγωνισμός εξασφαλίζει συνήθως την ενίσχυση των μειονεκτημάτων μιας τέτοιας συμπεριφοράς έναντι των ενδεχομένων πλεονεκτημάτων»</w:t>
      </w:r>
      <w:r w:rsidR="0020202F" w:rsidRPr="00282692">
        <w:rPr>
          <w:rStyle w:val="FootnoteReference"/>
          <w:rFonts w:ascii="Times New Roman" w:hAnsi="Times New Roman" w:cs="Times New Roman"/>
          <w:sz w:val="24"/>
          <w:szCs w:val="24"/>
        </w:rPr>
        <w:footnoteReference w:id="74"/>
      </w:r>
      <w:r w:rsidR="0020202F" w:rsidRPr="00282692">
        <w:rPr>
          <w:rFonts w:ascii="Times New Roman" w:hAnsi="Times New Roman" w:cs="Times New Roman"/>
          <w:sz w:val="24"/>
          <w:szCs w:val="24"/>
        </w:rPr>
        <w:t>.</w:t>
      </w:r>
      <w:r w:rsidR="008A39AF" w:rsidRPr="00282692">
        <w:rPr>
          <w:rFonts w:ascii="Times New Roman" w:hAnsi="Times New Roman" w:cs="Times New Roman"/>
          <w:sz w:val="24"/>
          <w:szCs w:val="24"/>
        </w:rPr>
        <w:t xml:space="preserve"> Μια επίσης σημαντική παραδοχή του Γενικού Δικαστηρίου εντοπίζεται στην απόφαση </w:t>
      </w:r>
      <w:proofErr w:type="spellStart"/>
      <w:r w:rsidR="008A39AF" w:rsidRPr="00282692">
        <w:rPr>
          <w:rFonts w:ascii="Times New Roman" w:hAnsi="Times New Roman" w:cs="Times New Roman"/>
          <w:i/>
          <w:sz w:val="24"/>
          <w:szCs w:val="24"/>
          <w:lang w:val="en-US"/>
        </w:rPr>
        <w:t>Telef</w:t>
      </w:r>
      <w:proofErr w:type="spellEnd"/>
      <w:r w:rsidR="008A39AF" w:rsidRPr="00282692">
        <w:rPr>
          <w:rFonts w:ascii="Times New Roman" w:hAnsi="Times New Roman" w:cs="Times New Roman"/>
          <w:i/>
          <w:sz w:val="24"/>
          <w:szCs w:val="24"/>
        </w:rPr>
        <w:t>ó</w:t>
      </w:r>
      <w:proofErr w:type="spellStart"/>
      <w:r w:rsidR="008A39AF" w:rsidRPr="00282692">
        <w:rPr>
          <w:rFonts w:ascii="Times New Roman" w:hAnsi="Times New Roman" w:cs="Times New Roman"/>
          <w:i/>
          <w:sz w:val="24"/>
          <w:szCs w:val="24"/>
          <w:lang w:val="en-US"/>
        </w:rPr>
        <w:t>nica</w:t>
      </w:r>
      <w:proofErr w:type="spellEnd"/>
      <w:r w:rsidR="008A39AF" w:rsidRPr="00282692">
        <w:rPr>
          <w:rFonts w:ascii="Times New Roman" w:hAnsi="Times New Roman" w:cs="Times New Roman"/>
          <w:sz w:val="24"/>
          <w:szCs w:val="24"/>
        </w:rPr>
        <w:t>, όπου το Γενικό Δικαστήριο τόνισε ότι «</w:t>
      </w:r>
      <w:r w:rsidR="008A39AF" w:rsidRPr="00CA02FC">
        <w:rPr>
          <w:rFonts w:ascii="Times New Roman" w:hAnsi="Times New Roman" w:cs="Times New Roman"/>
          <w:b/>
          <w:sz w:val="24"/>
          <w:szCs w:val="24"/>
        </w:rPr>
        <w:t xml:space="preserve">η </w:t>
      </w:r>
      <w:r w:rsidR="008A39AF" w:rsidRPr="00CA02FC">
        <w:rPr>
          <w:rFonts w:ascii="Times New Roman" w:hAnsi="Times New Roman" w:cs="Times New Roman"/>
          <w:b/>
          <w:sz w:val="24"/>
          <w:szCs w:val="24"/>
        </w:rPr>
        <w:lastRenderedPageBreak/>
        <w:t>ύπαρξη ανταγωνισμού, έστω και έντονου, σε συγκεκριμένη αγορά δεν αποκλείει την ύπαρξη δεσπόζουσας θέσεως στην ίδια αυτή αγορά</w:t>
      </w:r>
      <w:r w:rsidR="008A39AF" w:rsidRPr="00282692">
        <w:rPr>
          <w:rFonts w:ascii="Times New Roman" w:hAnsi="Times New Roman" w:cs="Times New Roman"/>
          <w:sz w:val="24"/>
          <w:szCs w:val="24"/>
        </w:rPr>
        <w:t>»</w:t>
      </w:r>
      <w:r w:rsidR="008A39AF" w:rsidRPr="00282692">
        <w:rPr>
          <w:rStyle w:val="FootnoteReference"/>
          <w:rFonts w:ascii="Times New Roman" w:hAnsi="Times New Roman" w:cs="Times New Roman"/>
          <w:sz w:val="24"/>
          <w:szCs w:val="24"/>
        </w:rPr>
        <w:footnoteReference w:id="75"/>
      </w:r>
      <w:r w:rsidR="008A39AF" w:rsidRPr="00282692">
        <w:rPr>
          <w:rFonts w:ascii="Times New Roman" w:hAnsi="Times New Roman" w:cs="Times New Roman"/>
          <w:sz w:val="24"/>
          <w:szCs w:val="24"/>
        </w:rPr>
        <w:t xml:space="preserve">. </w:t>
      </w:r>
    </w:p>
    <w:p w:rsidR="00140431" w:rsidRPr="00282692" w:rsidRDefault="0020202F"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r>
      <w:r w:rsidR="00F54917" w:rsidRPr="00282692">
        <w:rPr>
          <w:rFonts w:ascii="Times New Roman" w:hAnsi="Times New Roman" w:cs="Times New Roman"/>
          <w:sz w:val="24"/>
          <w:szCs w:val="24"/>
        </w:rPr>
        <w:t>Τέλος, ό</w:t>
      </w:r>
      <w:r w:rsidRPr="00282692">
        <w:rPr>
          <w:rFonts w:ascii="Times New Roman" w:hAnsi="Times New Roman" w:cs="Times New Roman"/>
          <w:sz w:val="24"/>
          <w:szCs w:val="24"/>
        </w:rPr>
        <w:t xml:space="preserve">σον αφορά, τώρα, τα λεγόμενα «εκ του νόμου μονοπώλια», η δεσπόζουσα θέση της επιχείρησης που κατέχει ένα τέτοιο μονοπώλιο </w:t>
      </w:r>
      <w:r w:rsidRPr="00CA02FC">
        <w:rPr>
          <w:rFonts w:ascii="Times New Roman" w:hAnsi="Times New Roman" w:cs="Times New Roman"/>
          <w:b/>
          <w:sz w:val="24"/>
          <w:szCs w:val="24"/>
        </w:rPr>
        <w:t xml:space="preserve">τεκμαίρεται </w:t>
      </w:r>
      <w:r w:rsidR="00140431" w:rsidRPr="00CA02FC">
        <w:rPr>
          <w:rFonts w:ascii="Times New Roman" w:hAnsi="Times New Roman" w:cs="Times New Roman"/>
          <w:b/>
          <w:sz w:val="24"/>
          <w:szCs w:val="24"/>
        </w:rPr>
        <w:t xml:space="preserve">αμάχητα </w:t>
      </w:r>
      <w:r w:rsidRPr="00CA02FC">
        <w:rPr>
          <w:rFonts w:ascii="Times New Roman" w:hAnsi="Times New Roman" w:cs="Times New Roman"/>
          <w:b/>
          <w:sz w:val="24"/>
          <w:szCs w:val="24"/>
        </w:rPr>
        <w:t xml:space="preserve">λόγω της </w:t>
      </w:r>
      <w:r w:rsidR="00140431" w:rsidRPr="00CA02FC">
        <w:rPr>
          <w:rFonts w:ascii="Times New Roman" w:hAnsi="Times New Roman" w:cs="Times New Roman"/>
          <w:b/>
          <w:sz w:val="24"/>
          <w:szCs w:val="24"/>
        </w:rPr>
        <w:t>«κατάστασης οικονομικής εξάρτησης» των αιτούντων τις υπηρεσίες της προαναφερθείσας επιχείρησης έναντι της επιχείρησης αυτής</w:t>
      </w:r>
      <w:r w:rsidR="00140431" w:rsidRPr="00282692">
        <w:rPr>
          <w:rStyle w:val="FootnoteReference"/>
          <w:rFonts w:ascii="Times New Roman" w:hAnsi="Times New Roman" w:cs="Times New Roman"/>
          <w:sz w:val="24"/>
          <w:szCs w:val="24"/>
        </w:rPr>
        <w:footnoteReference w:id="76"/>
      </w:r>
      <w:r w:rsidR="00140431" w:rsidRPr="00282692">
        <w:rPr>
          <w:rFonts w:ascii="Times New Roman" w:hAnsi="Times New Roman" w:cs="Times New Roman"/>
          <w:sz w:val="24"/>
          <w:szCs w:val="24"/>
        </w:rPr>
        <w:t>. Εξάλλου, όπως διευκρίνισε το Γενικό Δικαστήριο, η δεσπόζουσα θέση μιας επιχείρησης που κατέχει νόμιμο μονοπώλιο δεν μπορεί να αμφισβητηθεί, ακόμα και αν οι υπηρεσίες της έχουν σχέση με ένα προϊόν το οποίο ανταγωνίζεται, το ίδιο, άλλα προϊόντα</w:t>
      </w:r>
      <w:r w:rsidR="004E45B1" w:rsidRPr="00282692">
        <w:rPr>
          <w:rStyle w:val="FootnoteReference"/>
          <w:rFonts w:ascii="Times New Roman" w:hAnsi="Times New Roman" w:cs="Times New Roman"/>
          <w:sz w:val="24"/>
          <w:szCs w:val="24"/>
        </w:rPr>
        <w:footnoteReference w:id="77"/>
      </w:r>
      <w:r w:rsidR="00140431" w:rsidRPr="00282692">
        <w:rPr>
          <w:rFonts w:ascii="Times New Roman" w:hAnsi="Times New Roman" w:cs="Times New Roman"/>
          <w:sz w:val="24"/>
          <w:szCs w:val="24"/>
        </w:rPr>
        <w:t xml:space="preserve">. </w:t>
      </w:r>
      <w:r w:rsidR="00F54917" w:rsidRPr="00282692">
        <w:rPr>
          <w:rFonts w:ascii="Times New Roman" w:hAnsi="Times New Roman" w:cs="Times New Roman"/>
          <w:sz w:val="24"/>
          <w:szCs w:val="24"/>
        </w:rPr>
        <w:t>Επίσης</w:t>
      </w:r>
      <w:r w:rsidR="00140431" w:rsidRPr="00282692">
        <w:rPr>
          <w:rFonts w:ascii="Times New Roman" w:hAnsi="Times New Roman" w:cs="Times New Roman"/>
          <w:sz w:val="24"/>
          <w:szCs w:val="24"/>
        </w:rPr>
        <w:t>, όπως επισήμανε σε άλλη απόφασή του το Γενικό Δικαστήριο, μια επιχείρηση που κατέχει νόμιμο μονοπώλιο βρίσκεται «σε κατάσταση οικονομικής ισχύος που της δίνει την ευχέρεια να εμποδίζει τη διατήρηση αποτελεσματικού ανταγωνισμού στην αγορά παρέχοντάς της παράλληλα τη δυνατότητα ανεξάρτητης συμπεριφοράς.»</w:t>
      </w:r>
      <w:r w:rsidR="004E45B1" w:rsidRPr="00282692">
        <w:rPr>
          <w:rStyle w:val="FootnoteReference"/>
          <w:rFonts w:ascii="Times New Roman" w:hAnsi="Times New Roman" w:cs="Times New Roman"/>
          <w:sz w:val="24"/>
          <w:szCs w:val="24"/>
        </w:rPr>
        <w:footnoteReference w:id="78"/>
      </w:r>
    </w:p>
    <w:p w:rsidR="00140431" w:rsidRPr="00282692" w:rsidRDefault="00E0318B"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Συμπερασματικά, από τη νομολογία των ενωσιακών δικαστηρίων προκύπτει ότι το βασικό κριτήριο για να κριθεί ότι μια επιχείρηση κατέχει δεσπόζουσα θέση είναι η ικανότητά να επηρεάζει την αγορά, να δραστηριοποιείται σε αυτήν με μεγάλο βαθμό ανεξαρτησίας έναντι των ανταγωνιστών της. </w:t>
      </w:r>
      <w:r w:rsidRPr="00CA02FC">
        <w:rPr>
          <w:rFonts w:ascii="Times New Roman" w:hAnsi="Times New Roman" w:cs="Times New Roman"/>
          <w:b/>
          <w:sz w:val="24"/>
          <w:szCs w:val="24"/>
          <w:u w:val="single"/>
        </w:rPr>
        <w:t>Οι παράγοντες που λαμβάνονται υπόψη για τη διαπίστωση της συνδρομής του κριτηρίου αυτού αντλούνται από το πεδίο της οικονομικής επιστήμης</w:t>
      </w:r>
      <w:r w:rsidR="00991B80" w:rsidRPr="00CA02FC">
        <w:rPr>
          <w:rFonts w:ascii="Times New Roman" w:hAnsi="Times New Roman" w:cs="Times New Roman"/>
          <w:b/>
          <w:sz w:val="24"/>
          <w:szCs w:val="24"/>
          <w:u w:val="single"/>
        </w:rPr>
        <w:t xml:space="preserve"> και εξειδικεύονται σύμφωνα με τα πραγματικά περιστατικά της κάθε συγκεκριμένης υπόθεσης.</w:t>
      </w:r>
    </w:p>
    <w:p w:rsidR="00B90451" w:rsidRPr="00405B4E" w:rsidRDefault="00B90451" w:rsidP="00282692">
      <w:pPr>
        <w:spacing w:after="0" w:line="240" w:lineRule="auto"/>
        <w:jc w:val="both"/>
        <w:rPr>
          <w:rFonts w:ascii="Times New Roman" w:hAnsi="Times New Roman" w:cs="Times New Roman"/>
          <w:sz w:val="24"/>
          <w:szCs w:val="24"/>
        </w:rPr>
      </w:pPr>
    </w:p>
    <w:p w:rsidR="00E3029C" w:rsidRPr="00282692" w:rsidRDefault="00E3029C" w:rsidP="00282692">
      <w:pPr>
        <w:spacing w:after="0" w:line="240" w:lineRule="auto"/>
        <w:jc w:val="both"/>
        <w:rPr>
          <w:rFonts w:ascii="Times New Roman" w:hAnsi="Times New Roman" w:cs="Times New Roman"/>
          <w:sz w:val="24"/>
          <w:szCs w:val="24"/>
        </w:rPr>
      </w:pPr>
    </w:p>
    <w:p w:rsidR="00DC5FFC" w:rsidRPr="00282692" w:rsidRDefault="00AC436B" w:rsidP="00282692">
      <w:pPr>
        <w:spacing w:after="0" w:line="240" w:lineRule="auto"/>
        <w:jc w:val="both"/>
        <w:rPr>
          <w:rFonts w:ascii="Times New Roman" w:hAnsi="Times New Roman" w:cs="Times New Roman"/>
          <w:b/>
          <w:sz w:val="24"/>
          <w:szCs w:val="24"/>
        </w:rPr>
      </w:pPr>
      <w:r w:rsidRPr="00AC436B">
        <w:rPr>
          <w:rFonts w:ascii="Times New Roman" w:hAnsi="Times New Roman" w:cs="Times New Roman"/>
          <w:b/>
          <w:sz w:val="24"/>
          <w:szCs w:val="24"/>
        </w:rPr>
        <w:t>4.</w:t>
      </w:r>
      <w:r w:rsidR="00DC5FFC" w:rsidRPr="00282692">
        <w:rPr>
          <w:rFonts w:ascii="Times New Roman" w:hAnsi="Times New Roman" w:cs="Times New Roman"/>
          <w:b/>
          <w:sz w:val="24"/>
          <w:szCs w:val="24"/>
        </w:rPr>
        <w:t xml:space="preserve"> Διαπίστωση παραβάσεων του άρθρου 102 ΣΛΕΕ</w:t>
      </w:r>
    </w:p>
    <w:p w:rsidR="000A2F48" w:rsidRPr="00282692" w:rsidRDefault="000A2F48" w:rsidP="00282692">
      <w:pPr>
        <w:spacing w:after="0" w:line="240" w:lineRule="auto"/>
        <w:jc w:val="both"/>
        <w:rPr>
          <w:rFonts w:ascii="Times New Roman" w:hAnsi="Times New Roman" w:cs="Times New Roman"/>
          <w:sz w:val="24"/>
          <w:szCs w:val="24"/>
        </w:rPr>
      </w:pPr>
    </w:p>
    <w:p w:rsidR="00F44643" w:rsidRPr="00282692" w:rsidRDefault="00AC436B" w:rsidP="002826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α</w:t>
      </w:r>
      <w:r w:rsidR="00DC5FFC" w:rsidRPr="00282692">
        <w:rPr>
          <w:rFonts w:ascii="Times New Roman" w:hAnsi="Times New Roman" w:cs="Times New Roman"/>
          <w:b/>
          <w:sz w:val="24"/>
          <w:szCs w:val="24"/>
        </w:rPr>
        <w:t>) Επιθετική τιμολόγηση</w:t>
      </w:r>
    </w:p>
    <w:p w:rsidR="00DC5FFC" w:rsidRPr="00282692" w:rsidRDefault="00DC5FFC" w:rsidP="00282692">
      <w:pPr>
        <w:spacing w:after="0" w:line="240" w:lineRule="auto"/>
        <w:jc w:val="both"/>
        <w:rPr>
          <w:rFonts w:ascii="Times New Roman" w:hAnsi="Times New Roman" w:cs="Times New Roman"/>
          <w:b/>
          <w:sz w:val="24"/>
          <w:szCs w:val="24"/>
        </w:rPr>
      </w:pPr>
    </w:p>
    <w:p w:rsidR="00DC5FFC" w:rsidRPr="00282692" w:rsidRDefault="00DC5FFC"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r>
      <w:r w:rsidR="00282C78" w:rsidRPr="00282692">
        <w:rPr>
          <w:rFonts w:ascii="Times New Roman" w:hAnsi="Times New Roman" w:cs="Times New Roman"/>
          <w:sz w:val="24"/>
          <w:szCs w:val="24"/>
        </w:rPr>
        <w:t xml:space="preserve">Η σημασία της οικονομικής ανάλυσης για τη διαπίστωση ότι μια επιχείρηση παρέβη το άρθρο 102 ΣΛΕΕ εφαρμόζοντας πρακτική επιθετικής τιμολόγησης καταφαίνεται στην απόφαση </w:t>
      </w:r>
      <w:r w:rsidR="00282C78" w:rsidRPr="00B95AD5">
        <w:rPr>
          <w:rFonts w:ascii="Times New Roman" w:hAnsi="Times New Roman" w:cs="Times New Roman"/>
          <w:i/>
          <w:sz w:val="24"/>
          <w:szCs w:val="24"/>
          <w:lang w:val="en-US"/>
        </w:rPr>
        <w:t>AKZO</w:t>
      </w:r>
      <w:r w:rsidR="00282C78" w:rsidRPr="00282692">
        <w:rPr>
          <w:rFonts w:ascii="Times New Roman" w:hAnsi="Times New Roman" w:cs="Times New Roman"/>
          <w:sz w:val="24"/>
          <w:szCs w:val="24"/>
        </w:rPr>
        <w:t>, η οποία αποτελεί απόφαση-ορόσημο όσον αφορά τη συγκεκριμένη παράβαση του άρθρου 102 ΣΛΕΕ</w:t>
      </w:r>
      <w:r w:rsidR="00754B8D" w:rsidRPr="00282692">
        <w:rPr>
          <w:rFonts w:ascii="Times New Roman" w:hAnsi="Times New Roman" w:cs="Times New Roman"/>
          <w:sz w:val="24"/>
          <w:szCs w:val="24"/>
        </w:rPr>
        <w:t>.</w:t>
      </w:r>
    </w:p>
    <w:p w:rsidR="00CC5F57" w:rsidRPr="00282692" w:rsidRDefault="00282C78"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Όπως έκανε δεκτό το Δικαστήριο στην απόφαση </w:t>
      </w:r>
      <w:r w:rsidRPr="00B95AD5">
        <w:rPr>
          <w:rFonts w:ascii="Times New Roman" w:hAnsi="Times New Roman" w:cs="Times New Roman"/>
          <w:i/>
          <w:sz w:val="24"/>
          <w:szCs w:val="24"/>
          <w:lang w:val="en-US"/>
        </w:rPr>
        <w:t>AKZO</w:t>
      </w:r>
      <w:r w:rsidRPr="00282692">
        <w:rPr>
          <w:rFonts w:ascii="Times New Roman" w:hAnsi="Times New Roman" w:cs="Times New Roman"/>
          <w:sz w:val="24"/>
          <w:szCs w:val="24"/>
        </w:rPr>
        <w:t>, «τιμές υπολειπόμενες του μέσου όρου του κυμαινόμενου κόστους (δηλαδή του κόστους που μεταβάλλεται ανάλογα με τις παραγόμενες ποσότητες), με τις οποίες επιχείρηση κατέχουσα δεσπόζουσα θέση επιχειρεί να εκτοπίσει ανταγωνίστρια επιχείρηση, πρέπει να θεωρούνται ως καταχρηστικές.»</w:t>
      </w:r>
      <w:r w:rsidR="004E45B1" w:rsidRPr="00282692">
        <w:rPr>
          <w:rStyle w:val="FootnoteReference"/>
          <w:rFonts w:ascii="Times New Roman" w:hAnsi="Times New Roman" w:cs="Times New Roman"/>
          <w:sz w:val="24"/>
          <w:szCs w:val="24"/>
        </w:rPr>
        <w:footnoteReference w:id="79"/>
      </w:r>
      <w:r w:rsidRPr="00282692">
        <w:rPr>
          <w:rFonts w:ascii="Times New Roman" w:hAnsi="Times New Roman" w:cs="Times New Roman"/>
          <w:sz w:val="24"/>
          <w:szCs w:val="24"/>
        </w:rPr>
        <w:t xml:space="preserve"> Από την παραδοχή αυτή προκύπτει ότι </w:t>
      </w:r>
      <w:r w:rsidR="00F97FF3" w:rsidRPr="00282692">
        <w:rPr>
          <w:rFonts w:ascii="Times New Roman" w:hAnsi="Times New Roman" w:cs="Times New Roman"/>
          <w:sz w:val="24"/>
          <w:szCs w:val="24"/>
        </w:rPr>
        <w:t>η θεώρηση της πρακτικής της επιθετικής τιμολόγησης ως παράβασης του άρθρου 102 ΣΛΕΕ βασίζεται σε δύο στοιχεία: α) καθορισμός των τιμών σε επίπεδα κάτω του μέσου όρου του κυμαινόμενου κόστους και β) μείωση του ανταγωνισμού ως συνέπεια του καθορισμού των τιμών με τον προαναφερθέντα τρόπο.</w:t>
      </w:r>
    </w:p>
    <w:p w:rsidR="000B5E91" w:rsidRPr="00282692" w:rsidRDefault="00CC5F57"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r>
      <w:r w:rsidR="000B5E91" w:rsidRPr="00282692">
        <w:rPr>
          <w:rFonts w:ascii="Times New Roman" w:hAnsi="Times New Roman" w:cs="Times New Roman"/>
          <w:sz w:val="24"/>
          <w:szCs w:val="24"/>
        </w:rPr>
        <w:t xml:space="preserve">Η ανωτέρω παραδοχή επεξηγήθηκε από το Δικαστήριο με αμιγώς οικονομικούς όρους ως ακολούθως: «η δεσπόζουσα επιχείρηση δεν έχει κανένα συμφέρον από την προσφορά τέτοιων τιμών, εκτός βέβαια αν αποβλέπει στην εκδίωξη από την αγορά των ανταγωνιστριών επιχειρήσεων προκειμένου να μπορέσει κατόπιν να αυξήσει τις τιμές της αποκομίζοντας κέρδος από τη μονοπωλιακή της </w:t>
      </w:r>
      <w:r w:rsidR="000B5E91" w:rsidRPr="00282692">
        <w:rPr>
          <w:rFonts w:ascii="Times New Roman" w:hAnsi="Times New Roman" w:cs="Times New Roman"/>
          <w:sz w:val="24"/>
          <w:szCs w:val="24"/>
        </w:rPr>
        <w:lastRenderedPageBreak/>
        <w:t xml:space="preserve">κατάσταση, </w:t>
      </w:r>
      <w:r w:rsidR="000B5E91" w:rsidRPr="008202D7">
        <w:rPr>
          <w:rFonts w:ascii="Times New Roman" w:hAnsi="Times New Roman" w:cs="Times New Roman"/>
          <w:b/>
          <w:sz w:val="24"/>
          <w:szCs w:val="24"/>
        </w:rPr>
        <w:t>διότι κάθε πώληση συνεπάγεται γι' αυτήν ζημία, δηλαδή την απώλεια του συνόλου του σταθερού της κόστους (δηλαδή του κόστους που παραμένει σταθερό ανεξάρτητα από τις παραγόμενες ποσότητες) και μέρους τουλάχιστον του κυμαινόμενου κόστους της που αντιστοιχεί στην παραχθείσα ποσότητα.</w:t>
      </w:r>
      <w:r w:rsidR="000B5E91" w:rsidRPr="00282692">
        <w:rPr>
          <w:rFonts w:ascii="Times New Roman" w:hAnsi="Times New Roman" w:cs="Times New Roman"/>
          <w:sz w:val="24"/>
          <w:szCs w:val="24"/>
        </w:rPr>
        <w:t>»</w:t>
      </w:r>
      <w:r w:rsidR="000B5E91" w:rsidRPr="00282692">
        <w:rPr>
          <w:rStyle w:val="FootnoteReference"/>
          <w:rFonts w:ascii="Times New Roman" w:hAnsi="Times New Roman" w:cs="Times New Roman"/>
          <w:sz w:val="24"/>
          <w:szCs w:val="24"/>
        </w:rPr>
        <w:footnoteReference w:id="80"/>
      </w:r>
    </w:p>
    <w:p w:rsidR="000B5E91" w:rsidRPr="00282692" w:rsidRDefault="000B5E91"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r>
      <w:r w:rsidR="000246A4" w:rsidRPr="00282692">
        <w:rPr>
          <w:rFonts w:ascii="Times New Roman" w:hAnsi="Times New Roman" w:cs="Times New Roman"/>
          <w:sz w:val="24"/>
          <w:szCs w:val="24"/>
        </w:rPr>
        <w:t>Σ</w:t>
      </w:r>
      <w:r w:rsidRPr="00282692">
        <w:rPr>
          <w:rFonts w:ascii="Times New Roman" w:hAnsi="Times New Roman" w:cs="Times New Roman"/>
          <w:sz w:val="24"/>
          <w:szCs w:val="24"/>
        </w:rPr>
        <w:t xml:space="preserve">την απόφαση </w:t>
      </w:r>
      <w:r w:rsidRPr="00B95AD5">
        <w:rPr>
          <w:rFonts w:ascii="Times New Roman" w:hAnsi="Times New Roman" w:cs="Times New Roman"/>
          <w:i/>
          <w:sz w:val="24"/>
          <w:szCs w:val="24"/>
          <w:lang w:val="en-US"/>
        </w:rPr>
        <w:t>TetraPakII</w:t>
      </w:r>
      <w:r w:rsidRPr="00282692">
        <w:rPr>
          <w:rFonts w:ascii="Times New Roman" w:hAnsi="Times New Roman" w:cs="Times New Roman"/>
          <w:sz w:val="24"/>
          <w:szCs w:val="24"/>
        </w:rPr>
        <w:t>, το Γενικό Δικαστήριο ανέλυσε την ανωτέρω επεξήγηση επίσης με αμιγώς οικονομικούς όρους, δηλώνοντας ότι «η ύπαρξη αρνητικών ακαθάριστων ή ημιακαθάριστων περιθωρίων τα οποία αντιπροσωπεύουν το υπόλοιπο της αφαιρέσεως από το τίμημα της πωλήσεως του άμεσου μεταβλητού κόστους ή του μέσου μεταβλητού κόστους, δηλαδή του κόστους παραγωγής ανά μονάδα επιτρέπει να συναχθεί το τεκμήριο ότι η πρακτική τιμών αποσκοπεί στην εξαφάνιση των ανταγωνιστών.»</w:t>
      </w:r>
      <w:r w:rsidR="006136E9" w:rsidRPr="00282692">
        <w:rPr>
          <w:rStyle w:val="FootnoteReference"/>
          <w:rFonts w:ascii="Times New Roman" w:hAnsi="Times New Roman" w:cs="Times New Roman"/>
          <w:sz w:val="24"/>
          <w:szCs w:val="24"/>
        </w:rPr>
        <w:footnoteReference w:id="81"/>
      </w:r>
    </w:p>
    <w:p w:rsidR="008F2821" w:rsidRPr="00282692" w:rsidRDefault="00661B5B"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Αν οι τιμές της δεσπόζουσας επιχείρησης καθορίστηκαν σε επίπεδα ανώτερα του μέσου όρου του κυμαινόμενου κόστους, για να διαπιστωθεί ότι η δεσπόζουσα επιχείρηση καταχράστηκε πράγματι τη θέση της με τη μορφή της επιθετικής τιμολόγησης πρέπει να αποδεικνύεται επιπλέον πρόθεση για εξάλειψη του ανταγωνισμού. Πιο συγκεκριμένα, στην απόφαση </w:t>
      </w:r>
      <w:r w:rsidRPr="00B95AD5">
        <w:rPr>
          <w:rFonts w:ascii="Times New Roman" w:hAnsi="Times New Roman" w:cs="Times New Roman"/>
          <w:i/>
          <w:sz w:val="24"/>
          <w:szCs w:val="24"/>
          <w:lang w:val="en-US"/>
        </w:rPr>
        <w:t>AKZO</w:t>
      </w:r>
      <w:r w:rsidRPr="00282692">
        <w:rPr>
          <w:rFonts w:ascii="Times New Roman" w:hAnsi="Times New Roman" w:cs="Times New Roman"/>
          <w:sz w:val="24"/>
          <w:szCs w:val="24"/>
        </w:rPr>
        <w:t xml:space="preserve">, το Δικαστήριο παρατήρησε ότι «τιμές κατώτερες από τον μέσο όρο του συνολικού κόστους, οι οποίες περιλαμβάνουν τόσο το σταθερό όσο και το κυμαινόμενο κόστος, αλλά είναι ανώτερες από τον μέσο όρο του κυμαινόμενου κόστους μπορούν να θεωρηθούν ως καταχρηστικές </w:t>
      </w:r>
      <w:r w:rsidRPr="008202D7">
        <w:rPr>
          <w:rFonts w:ascii="Times New Roman" w:hAnsi="Times New Roman" w:cs="Times New Roman"/>
          <w:b/>
          <w:sz w:val="24"/>
          <w:szCs w:val="24"/>
        </w:rPr>
        <w:t>όταν καθορίζονται στο πλαίσιο σχεδίου που αποβλέπει στην εκδίωξη από την αγορά ανταγωνιστικής επιχειρήσεως.</w:t>
      </w:r>
      <w:r w:rsidRPr="00282692">
        <w:rPr>
          <w:rFonts w:ascii="Times New Roman" w:hAnsi="Times New Roman" w:cs="Times New Roman"/>
          <w:sz w:val="24"/>
          <w:szCs w:val="24"/>
        </w:rPr>
        <w:t>»</w:t>
      </w:r>
      <w:r w:rsidR="006136E9" w:rsidRPr="00282692">
        <w:rPr>
          <w:rStyle w:val="FootnoteReference"/>
          <w:rFonts w:ascii="Times New Roman" w:hAnsi="Times New Roman" w:cs="Times New Roman"/>
          <w:sz w:val="24"/>
          <w:szCs w:val="24"/>
        </w:rPr>
        <w:footnoteReference w:id="82"/>
      </w:r>
      <w:r w:rsidR="00902792" w:rsidRPr="00282692">
        <w:rPr>
          <w:rFonts w:ascii="Times New Roman" w:hAnsi="Times New Roman" w:cs="Times New Roman"/>
          <w:sz w:val="24"/>
          <w:szCs w:val="24"/>
        </w:rPr>
        <w:t xml:space="preserve"> Η ίδια θέση επαναδιατυπώθηκε</w:t>
      </w:r>
      <w:r w:rsidR="000B76D3" w:rsidRPr="00282692">
        <w:rPr>
          <w:rFonts w:ascii="Times New Roman" w:hAnsi="Times New Roman" w:cs="Times New Roman"/>
          <w:sz w:val="24"/>
          <w:szCs w:val="24"/>
        </w:rPr>
        <w:t xml:space="preserve"> από το Δικαστήριο</w:t>
      </w:r>
      <w:r w:rsidR="00902792" w:rsidRPr="00282692">
        <w:rPr>
          <w:rFonts w:ascii="Times New Roman" w:hAnsi="Times New Roman" w:cs="Times New Roman"/>
          <w:sz w:val="24"/>
          <w:szCs w:val="24"/>
        </w:rPr>
        <w:t xml:space="preserve"> στην απόφαση </w:t>
      </w:r>
      <w:proofErr w:type="spellStart"/>
      <w:r w:rsidR="00902792" w:rsidRPr="00B95AD5">
        <w:rPr>
          <w:rFonts w:ascii="Times New Roman" w:hAnsi="Times New Roman" w:cs="Times New Roman"/>
          <w:i/>
          <w:sz w:val="24"/>
          <w:szCs w:val="24"/>
          <w:lang w:val="en-US"/>
        </w:rPr>
        <w:t>Wanadoo</w:t>
      </w:r>
      <w:proofErr w:type="spellEnd"/>
      <w:r w:rsidR="000B76D3" w:rsidRPr="00282692">
        <w:rPr>
          <w:rStyle w:val="FootnoteReference"/>
          <w:rFonts w:ascii="Times New Roman" w:hAnsi="Times New Roman" w:cs="Times New Roman"/>
          <w:sz w:val="24"/>
          <w:szCs w:val="24"/>
          <w:lang w:val="en-US"/>
        </w:rPr>
        <w:footnoteReference w:id="83"/>
      </w:r>
      <w:r w:rsidR="000B76D3" w:rsidRPr="00282692">
        <w:rPr>
          <w:rFonts w:ascii="Times New Roman" w:hAnsi="Times New Roman" w:cs="Times New Roman"/>
          <w:sz w:val="24"/>
          <w:szCs w:val="24"/>
        </w:rPr>
        <w:t>, παρά την αντίθετη εισήγηση του Γενικού Εισαγγελέα</w:t>
      </w:r>
      <w:r w:rsidR="000B76D3" w:rsidRPr="00282692">
        <w:rPr>
          <w:rStyle w:val="FootnoteReference"/>
          <w:rFonts w:ascii="Times New Roman" w:hAnsi="Times New Roman" w:cs="Times New Roman"/>
          <w:sz w:val="24"/>
          <w:szCs w:val="24"/>
        </w:rPr>
        <w:footnoteReference w:id="84"/>
      </w:r>
      <w:r w:rsidR="000B76D3" w:rsidRPr="00282692">
        <w:rPr>
          <w:rFonts w:ascii="Times New Roman" w:hAnsi="Times New Roman" w:cs="Times New Roman"/>
          <w:sz w:val="24"/>
          <w:szCs w:val="24"/>
        </w:rPr>
        <w:t xml:space="preserve">. </w:t>
      </w:r>
      <w:r w:rsidR="008202D7">
        <w:rPr>
          <w:rFonts w:ascii="Times New Roman" w:hAnsi="Times New Roman" w:cs="Times New Roman"/>
          <w:sz w:val="24"/>
          <w:szCs w:val="24"/>
        </w:rPr>
        <w:t>Όπως προκύπτει</w:t>
      </w:r>
      <w:r w:rsidR="0082656A" w:rsidRPr="00282692">
        <w:rPr>
          <w:rFonts w:ascii="Times New Roman" w:hAnsi="Times New Roman" w:cs="Times New Roman"/>
          <w:sz w:val="24"/>
          <w:szCs w:val="24"/>
        </w:rPr>
        <w:t xml:space="preserve"> τόσο από την απόφαση </w:t>
      </w:r>
      <w:r w:rsidR="0082656A" w:rsidRPr="00B95AD5">
        <w:rPr>
          <w:rFonts w:ascii="Times New Roman" w:hAnsi="Times New Roman" w:cs="Times New Roman"/>
          <w:i/>
          <w:sz w:val="24"/>
          <w:szCs w:val="24"/>
          <w:lang w:val="en-US"/>
        </w:rPr>
        <w:t>AKZO</w:t>
      </w:r>
      <w:r w:rsidR="0082656A" w:rsidRPr="00282692">
        <w:rPr>
          <w:rFonts w:ascii="Times New Roman" w:hAnsi="Times New Roman" w:cs="Times New Roman"/>
          <w:sz w:val="24"/>
          <w:szCs w:val="24"/>
        </w:rPr>
        <w:t xml:space="preserve"> όσο και από την απόφαση </w:t>
      </w:r>
      <w:r w:rsidR="0082656A" w:rsidRPr="00B95AD5">
        <w:rPr>
          <w:rFonts w:ascii="Times New Roman" w:hAnsi="Times New Roman" w:cs="Times New Roman"/>
          <w:i/>
          <w:sz w:val="24"/>
          <w:szCs w:val="24"/>
          <w:lang w:val="en-US"/>
        </w:rPr>
        <w:t>TetraPakII</w:t>
      </w:r>
      <w:r w:rsidR="0082656A" w:rsidRPr="00282692">
        <w:rPr>
          <w:rFonts w:ascii="Times New Roman" w:hAnsi="Times New Roman" w:cs="Times New Roman"/>
          <w:sz w:val="24"/>
          <w:szCs w:val="24"/>
        </w:rPr>
        <w:t xml:space="preserve">, </w:t>
      </w:r>
      <w:r w:rsidR="0082656A" w:rsidRPr="008202D7">
        <w:rPr>
          <w:rFonts w:ascii="Times New Roman" w:hAnsi="Times New Roman" w:cs="Times New Roman"/>
          <w:b/>
          <w:sz w:val="24"/>
          <w:szCs w:val="24"/>
        </w:rPr>
        <w:t xml:space="preserve">η διάρκεια του καθορισμού των τιμών </w:t>
      </w:r>
      <w:r w:rsidR="007111D8" w:rsidRPr="008202D7">
        <w:rPr>
          <w:rFonts w:ascii="Times New Roman" w:hAnsi="Times New Roman" w:cs="Times New Roman"/>
          <w:b/>
          <w:sz w:val="24"/>
          <w:szCs w:val="24"/>
        </w:rPr>
        <w:t xml:space="preserve">σε επίπεδα κατώτερα από τον μέσο όρο του συνολικού κόστους αλλά ανώτερα από τον μέσο όρο του κυμαινόμενου κόστους πρέπει επίσης να λαμβάνεται υπόψη στο πλαίσιο της απόδειξης της πρόθεσης </w:t>
      </w:r>
      <w:r w:rsidR="0082656A" w:rsidRPr="008202D7">
        <w:rPr>
          <w:rFonts w:ascii="Times New Roman" w:hAnsi="Times New Roman" w:cs="Times New Roman"/>
          <w:b/>
          <w:sz w:val="24"/>
          <w:szCs w:val="24"/>
        </w:rPr>
        <w:t>για εξάλειψη του ανταγωνισμού</w:t>
      </w:r>
      <w:r w:rsidR="00AE49E7" w:rsidRPr="00282692">
        <w:rPr>
          <w:rStyle w:val="FootnoteReference"/>
          <w:rFonts w:ascii="Times New Roman" w:hAnsi="Times New Roman" w:cs="Times New Roman"/>
          <w:sz w:val="24"/>
          <w:szCs w:val="24"/>
        </w:rPr>
        <w:footnoteReference w:id="85"/>
      </w:r>
      <w:r w:rsidR="007111D8" w:rsidRPr="00282692">
        <w:rPr>
          <w:rFonts w:ascii="Times New Roman" w:hAnsi="Times New Roman" w:cs="Times New Roman"/>
          <w:sz w:val="24"/>
          <w:szCs w:val="24"/>
        </w:rPr>
        <w:t>.</w:t>
      </w:r>
    </w:p>
    <w:p w:rsidR="008C175F" w:rsidRPr="00282692" w:rsidRDefault="006C3835"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Εξάλλου, όπως </w:t>
      </w:r>
      <w:r w:rsidR="00902792" w:rsidRPr="00282692">
        <w:rPr>
          <w:rFonts w:ascii="Times New Roman" w:hAnsi="Times New Roman" w:cs="Times New Roman"/>
          <w:sz w:val="24"/>
          <w:szCs w:val="24"/>
        </w:rPr>
        <w:t>επισήμανε το Γενικό Δικαστήρ</w:t>
      </w:r>
      <w:r w:rsidR="000B76D3" w:rsidRPr="00282692">
        <w:rPr>
          <w:rFonts w:ascii="Times New Roman" w:hAnsi="Times New Roman" w:cs="Times New Roman"/>
          <w:sz w:val="24"/>
          <w:szCs w:val="24"/>
        </w:rPr>
        <w:t xml:space="preserve">ιο στην απόφαση </w:t>
      </w:r>
      <w:proofErr w:type="spellStart"/>
      <w:r w:rsidR="000B76D3" w:rsidRPr="00B95AD5">
        <w:rPr>
          <w:rFonts w:ascii="Times New Roman" w:hAnsi="Times New Roman" w:cs="Times New Roman"/>
          <w:i/>
          <w:sz w:val="24"/>
          <w:szCs w:val="24"/>
          <w:lang w:val="en-US"/>
        </w:rPr>
        <w:t>Wanadoo</w:t>
      </w:r>
      <w:proofErr w:type="spellEnd"/>
      <w:r w:rsidR="000B76D3" w:rsidRPr="00282692">
        <w:rPr>
          <w:rFonts w:ascii="Times New Roman" w:hAnsi="Times New Roman" w:cs="Times New Roman"/>
          <w:sz w:val="24"/>
          <w:szCs w:val="24"/>
        </w:rPr>
        <w:t xml:space="preserve">, </w:t>
      </w:r>
      <w:r w:rsidR="00580F3B" w:rsidRPr="00282692">
        <w:rPr>
          <w:rFonts w:ascii="Times New Roman" w:hAnsi="Times New Roman" w:cs="Times New Roman"/>
          <w:sz w:val="24"/>
          <w:szCs w:val="24"/>
        </w:rPr>
        <w:t xml:space="preserve">οικονομίες κλίμακας και αποτελέσματα τεχνογνωσίας δεν μπορούν να δικαιολογήσουν την πρακτική επιθετικής τιμολόγησης που εφαρμόζει μια δεσπόζουσα επιχείρηση. </w:t>
      </w:r>
      <w:r w:rsidR="00580F3B" w:rsidRPr="008202D7">
        <w:rPr>
          <w:rFonts w:ascii="Times New Roman" w:hAnsi="Times New Roman" w:cs="Times New Roman"/>
          <w:b/>
          <w:sz w:val="24"/>
          <w:szCs w:val="24"/>
        </w:rPr>
        <w:t>Ο λόγος είναι ότι οι οικονομίες κλίμακας και τα αποτελέσματα τεχνογνωσίας από τις οποίες επωφελείται μια δεσπόζουσα επιχείρηση που εφαρμόζει την προαναφερθείσα πρακτική είναι απλώς συνέπειες της πρακτικής αυτής και για αυτό το λόγο δεν μπορούν να απαλλάξουν την εν λόγω επιχείρηση από την ευθύνη της κατά το άρθρο 102 ΣΛΕΕ</w:t>
      </w:r>
      <w:r w:rsidR="00580F3B" w:rsidRPr="00282692">
        <w:rPr>
          <w:rStyle w:val="FootnoteReference"/>
          <w:rFonts w:ascii="Times New Roman" w:hAnsi="Times New Roman" w:cs="Times New Roman"/>
          <w:sz w:val="24"/>
          <w:szCs w:val="24"/>
        </w:rPr>
        <w:footnoteReference w:id="86"/>
      </w:r>
      <w:r w:rsidR="00580F3B" w:rsidRPr="00282692">
        <w:rPr>
          <w:rFonts w:ascii="Times New Roman" w:hAnsi="Times New Roman" w:cs="Times New Roman"/>
          <w:sz w:val="24"/>
          <w:szCs w:val="24"/>
        </w:rPr>
        <w:t>.</w:t>
      </w:r>
    </w:p>
    <w:p w:rsidR="00F1370E" w:rsidRPr="00282692" w:rsidRDefault="008C175F"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Επιστρέφοντας </w:t>
      </w:r>
      <w:r w:rsidR="00F1370E" w:rsidRPr="00282692">
        <w:rPr>
          <w:rFonts w:ascii="Times New Roman" w:hAnsi="Times New Roman" w:cs="Times New Roman"/>
          <w:sz w:val="24"/>
          <w:szCs w:val="24"/>
        </w:rPr>
        <w:t>στις θεμελιώδεις παραδοχές της</w:t>
      </w:r>
      <w:r w:rsidRPr="00282692">
        <w:rPr>
          <w:rFonts w:ascii="Times New Roman" w:hAnsi="Times New Roman" w:cs="Times New Roman"/>
          <w:sz w:val="24"/>
          <w:szCs w:val="24"/>
        </w:rPr>
        <w:t xml:space="preserve"> απόφαση</w:t>
      </w:r>
      <w:r w:rsidR="00F1370E" w:rsidRPr="00282692">
        <w:rPr>
          <w:rFonts w:ascii="Times New Roman" w:hAnsi="Times New Roman" w:cs="Times New Roman"/>
          <w:sz w:val="24"/>
          <w:szCs w:val="24"/>
        </w:rPr>
        <w:t>ς</w:t>
      </w:r>
      <w:r w:rsidRPr="00B95AD5">
        <w:rPr>
          <w:rFonts w:ascii="Times New Roman" w:hAnsi="Times New Roman" w:cs="Times New Roman"/>
          <w:i/>
          <w:sz w:val="24"/>
          <w:szCs w:val="24"/>
          <w:lang w:val="en-US"/>
        </w:rPr>
        <w:t>AKZO</w:t>
      </w:r>
      <w:r w:rsidR="00F1370E" w:rsidRPr="00282692">
        <w:rPr>
          <w:rFonts w:ascii="Times New Roman" w:hAnsi="Times New Roman" w:cs="Times New Roman"/>
          <w:sz w:val="24"/>
          <w:szCs w:val="24"/>
        </w:rPr>
        <w:t>, μπορούν να διατυπωθούν οι ακόλουθες σκέψεις:</w:t>
      </w:r>
    </w:p>
    <w:p w:rsidR="00580F3B" w:rsidRPr="00282692" w:rsidRDefault="00F1370E"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r>
      <w:r w:rsidRPr="00282692">
        <w:rPr>
          <w:rFonts w:ascii="Times New Roman" w:hAnsi="Times New Roman" w:cs="Times New Roman"/>
          <w:i/>
          <w:sz w:val="24"/>
          <w:szCs w:val="24"/>
        </w:rPr>
        <w:t>Πρώτον</w:t>
      </w:r>
      <w:r w:rsidRPr="00282692">
        <w:rPr>
          <w:rFonts w:ascii="Times New Roman" w:hAnsi="Times New Roman" w:cs="Times New Roman"/>
          <w:sz w:val="24"/>
          <w:szCs w:val="24"/>
        </w:rPr>
        <w:t xml:space="preserve">, στην απόφαση </w:t>
      </w:r>
      <w:r w:rsidRPr="00B95AD5">
        <w:rPr>
          <w:rFonts w:ascii="Times New Roman" w:hAnsi="Times New Roman" w:cs="Times New Roman"/>
          <w:i/>
          <w:sz w:val="24"/>
          <w:szCs w:val="24"/>
          <w:lang w:val="en-US"/>
        </w:rPr>
        <w:t>AKZO</w:t>
      </w:r>
      <w:r w:rsidRPr="00282692">
        <w:rPr>
          <w:rFonts w:ascii="Times New Roman" w:hAnsi="Times New Roman" w:cs="Times New Roman"/>
          <w:sz w:val="24"/>
          <w:szCs w:val="24"/>
        </w:rPr>
        <w:t xml:space="preserve">, το Δικαστήριο επιβεβαίωσε την προσέγγιση της Επιτροπής ότι μόνο κόστη και τιμές της δεσπόζουσας επιχείρησης πρέπει να λαμβάνονται υπόψη για να απαντηθεί αν η επιχείρηση αυτή παρέβη το άρθρο 102 </w:t>
      </w:r>
      <w:r w:rsidRPr="00282692">
        <w:rPr>
          <w:rFonts w:ascii="Times New Roman" w:hAnsi="Times New Roman" w:cs="Times New Roman"/>
          <w:sz w:val="24"/>
          <w:szCs w:val="24"/>
        </w:rPr>
        <w:lastRenderedPageBreak/>
        <w:t>ΣΛΕΕ υπό τη μορφή της επιθετικής τιμολόγησης</w:t>
      </w:r>
      <w:r w:rsidRPr="00282692">
        <w:rPr>
          <w:rStyle w:val="FootnoteReference"/>
          <w:rFonts w:ascii="Times New Roman" w:hAnsi="Times New Roman" w:cs="Times New Roman"/>
          <w:sz w:val="24"/>
          <w:szCs w:val="24"/>
        </w:rPr>
        <w:footnoteReference w:id="87"/>
      </w:r>
      <w:r w:rsidRPr="00282692">
        <w:rPr>
          <w:rFonts w:ascii="Times New Roman" w:hAnsi="Times New Roman" w:cs="Times New Roman"/>
          <w:sz w:val="24"/>
          <w:szCs w:val="24"/>
        </w:rPr>
        <w:t>. Αντίθετα, δεν λαμβάνονται υπόψη για τον προαναφερθέντα σκοπό η διάρθρωση των δαπανών και οι τιμολογιακές πολιτικές των ανταγωνιστών της δεσπόζουσας επιχείρησης, παρά την αντίθετη εισήγηση του Γενικού Εισαγγελέα στην υπόθεση</w:t>
      </w:r>
      <w:r w:rsidRPr="00282692">
        <w:rPr>
          <w:rStyle w:val="FootnoteReference"/>
          <w:rFonts w:ascii="Times New Roman" w:hAnsi="Times New Roman" w:cs="Times New Roman"/>
          <w:sz w:val="24"/>
          <w:szCs w:val="24"/>
        </w:rPr>
        <w:footnoteReference w:id="88"/>
      </w:r>
      <w:r w:rsidRPr="00282692">
        <w:rPr>
          <w:rFonts w:ascii="Times New Roman" w:hAnsi="Times New Roman" w:cs="Times New Roman"/>
          <w:sz w:val="24"/>
          <w:szCs w:val="24"/>
        </w:rPr>
        <w:t xml:space="preserve">. </w:t>
      </w:r>
    </w:p>
    <w:p w:rsidR="00843C74" w:rsidRPr="00282692" w:rsidRDefault="008F2821"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r>
      <w:r w:rsidR="00F1370E" w:rsidRPr="00282692">
        <w:rPr>
          <w:rFonts w:ascii="Times New Roman" w:hAnsi="Times New Roman" w:cs="Times New Roman"/>
          <w:i/>
          <w:sz w:val="24"/>
          <w:szCs w:val="24"/>
        </w:rPr>
        <w:t>Δεύτερον</w:t>
      </w:r>
      <w:r w:rsidR="00F1370E" w:rsidRPr="00282692">
        <w:rPr>
          <w:rFonts w:ascii="Times New Roman" w:hAnsi="Times New Roman" w:cs="Times New Roman"/>
          <w:sz w:val="24"/>
          <w:szCs w:val="24"/>
        </w:rPr>
        <w:t>,</w:t>
      </w:r>
      <w:r w:rsidR="00A2092A" w:rsidRPr="00282692">
        <w:rPr>
          <w:rFonts w:ascii="Times New Roman" w:hAnsi="Times New Roman" w:cs="Times New Roman"/>
          <w:sz w:val="24"/>
          <w:szCs w:val="24"/>
        </w:rPr>
        <w:t xml:space="preserve"> ο προσδιορισμός του περιεχομένου του όρου «κόστος» πρέπει πάντοτε να γίνεται σύμφωνα με τα πραγματικά κόστη και σε σχέση με τις παραγόμενες ποσότητες</w:t>
      </w:r>
      <w:r w:rsidR="00EF4ABF" w:rsidRPr="00282692">
        <w:rPr>
          <w:rStyle w:val="FootnoteReference"/>
          <w:rFonts w:ascii="Times New Roman" w:hAnsi="Times New Roman" w:cs="Times New Roman"/>
          <w:sz w:val="24"/>
          <w:szCs w:val="24"/>
        </w:rPr>
        <w:footnoteReference w:id="89"/>
      </w:r>
      <w:r w:rsidR="00A2092A" w:rsidRPr="00282692">
        <w:rPr>
          <w:rFonts w:ascii="Times New Roman" w:hAnsi="Times New Roman" w:cs="Times New Roman"/>
          <w:sz w:val="24"/>
          <w:szCs w:val="24"/>
        </w:rPr>
        <w:t xml:space="preserve">. Η διαπίστωση αυτή βασίζεται σε μια παραδοχή οικονομικής φύσης: Τα κυμαινόμενα κόστη μεταβάλλονται καθώς εξαρτώνται </w:t>
      </w:r>
      <w:r w:rsidR="00EF4ABF" w:rsidRPr="00282692">
        <w:rPr>
          <w:rFonts w:ascii="Times New Roman" w:hAnsi="Times New Roman" w:cs="Times New Roman"/>
          <w:sz w:val="24"/>
          <w:szCs w:val="24"/>
        </w:rPr>
        <w:t>από τον όγκο της παραγωγής, ενώ τα πάγια έξοδα είναι σταθερά ανεξάρτητα από μεταβολές στον όγκο της παραγωγής της δεσπόζουσας επιχείρησης.</w:t>
      </w:r>
      <w:r w:rsidR="00620109" w:rsidRPr="00282692">
        <w:rPr>
          <w:rFonts w:ascii="Times New Roman" w:hAnsi="Times New Roman" w:cs="Times New Roman"/>
          <w:sz w:val="24"/>
          <w:szCs w:val="24"/>
        </w:rPr>
        <w:t xml:space="preserve"> Ωστόσο, η παραδοχή αυτή ισχύει μόνο σε βραχυπρόθεσμη βάση. Σύμφωνα με την οικονομική θεωρία, σε μακροπρόθεσμη βάση, όλα τα κόστη είναι κυμαινόμενα καθώς η επιχείρηση είναι ικανή να προσαρμόσει τους συντελεστές παραγωγής και να προχωρήσει σε αλλαγές </w:t>
      </w:r>
      <w:r w:rsidR="00975D49" w:rsidRPr="00282692">
        <w:rPr>
          <w:rFonts w:ascii="Times New Roman" w:hAnsi="Times New Roman" w:cs="Times New Roman"/>
          <w:sz w:val="24"/>
          <w:szCs w:val="24"/>
        </w:rPr>
        <w:t xml:space="preserve">σε σχέση ακόμα και με μακροπρόθεσμα κόστη. </w:t>
      </w:r>
      <w:r w:rsidR="00975D49" w:rsidRPr="0041572E">
        <w:rPr>
          <w:rFonts w:ascii="Times New Roman" w:hAnsi="Times New Roman" w:cs="Times New Roman"/>
          <w:b/>
          <w:sz w:val="24"/>
          <w:szCs w:val="24"/>
        </w:rPr>
        <w:t>Το Δικαστήριο επέλεξε, λοιπόν, να εστιάσει σε μια οι</w:t>
      </w:r>
      <w:r w:rsidR="006E02BF" w:rsidRPr="0041572E">
        <w:rPr>
          <w:rFonts w:ascii="Times New Roman" w:hAnsi="Times New Roman" w:cs="Times New Roman"/>
          <w:b/>
          <w:sz w:val="24"/>
          <w:szCs w:val="24"/>
        </w:rPr>
        <w:t>κονομική ανάλυση σε βραχυπρόθεσμο επίπεδο, στην οποία τα κόστη και οι τιμές υπολογίζονται σε περιορισμένο χρονικό πλαίσιο.</w:t>
      </w:r>
      <w:r w:rsidR="006E02BF" w:rsidRPr="00282692">
        <w:rPr>
          <w:rFonts w:ascii="Times New Roman" w:hAnsi="Times New Roman" w:cs="Times New Roman"/>
          <w:sz w:val="24"/>
          <w:szCs w:val="24"/>
        </w:rPr>
        <w:t xml:space="preserve"> Πιο συγκεκριμένα, στην υπόθεση </w:t>
      </w:r>
      <w:r w:rsidR="006E02BF" w:rsidRPr="00B95AD5">
        <w:rPr>
          <w:rFonts w:ascii="Times New Roman" w:hAnsi="Times New Roman" w:cs="Times New Roman"/>
          <w:i/>
          <w:sz w:val="24"/>
          <w:szCs w:val="24"/>
          <w:lang w:val="en-US"/>
        </w:rPr>
        <w:t>AKZO</w:t>
      </w:r>
      <w:r w:rsidR="006E02BF" w:rsidRPr="00282692">
        <w:rPr>
          <w:rFonts w:ascii="Times New Roman" w:hAnsi="Times New Roman" w:cs="Times New Roman"/>
          <w:sz w:val="24"/>
          <w:szCs w:val="24"/>
        </w:rPr>
        <w:t>, το Δικαστήριο εκτίμησε τη φύση του κόστους εργασίας, το οποίο κρίθηκε ως πάγιο κόστος, καθώς στο εξετασθέν χρονικ</w:t>
      </w:r>
      <w:r w:rsidR="00EC2E77" w:rsidRPr="00282692">
        <w:rPr>
          <w:rFonts w:ascii="Times New Roman" w:hAnsi="Times New Roman" w:cs="Times New Roman"/>
          <w:sz w:val="24"/>
          <w:szCs w:val="24"/>
        </w:rPr>
        <w:t>ό πλαίσιο δεν υφίστατο</w:t>
      </w:r>
      <w:r w:rsidR="006E02BF" w:rsidRPr="00282692">
        <w:rPr>
          <w:rFonts w:ascii="Times New Roman" w:hAnsi="Times New Roman" w:cs="Times New Roman"/>
          <w:sz w:val="24"/>
          <w:szCs w:val="24"/>
        </w:rPr>
        <w:t xml:space="preserve"> καμία </w:t>
      </w:r>
      <w:r w:rsidR="00EC2E77" w:rsidRPr="00282692">
        <w:rPr>
          <w:rFonts w:ascii="Times New Roman" w:hAnsi="Times New Roman" w:cs="Times New Roman"/>
          <w:sz w:val="24"/>
          <w:szCs w:val="24"/>
        </w:rPr>
        <w:t>άμεση σχέσημεταξύ του κόστους εργασίας και του όγκου της παραγωγής της δεσπόζουσας επιχείρησης</w:t>
      </w:r>
      <w:r w:rsidR="00EC2E77" w:rsidRPr="00282692">
        <w:rPr>
          <w:rStyle w:val="FootnoteReference"/>
          <w:rFonts w:ascii="Times New Roman" w:hAnsi="Times New Roman" w:cs="Times New Roman"/>
          <w:sz w:val="24"/>
          <w:szCs w:val="24"/>
        </w:rPr>
        <w:footnoteReference w:id="90"/>
      </w:r>
      <w:r w:rsidR="00EC2E77" w:rsidRPr="00282692">
        <w:rPr>
          <w:rFonts w:ascii="Times New Roman" w:hAnsi="Times New Roman" w:cs="Times New Roman"/>
          <w:sz w:val="24"/>
          <w:szCs w:val="24"/>
        </w:rPr>
        <w:t>.</w:t>
      </w:r>
    </w:p>
    <w:p w:rsidR="0095032B" w:rsidRPr="00282692" w:rsidRDefault="00843C74"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Μια ελαφρώς διαφορετική </w:t>
      </w:r>
      <w:r w:rsidR="007F2128" w:rsidRPr="00282692">
        <w:rPr>
          <w:rFonts w:ascii="Times New Roman" w:hAnsi="Times New Roman" w:cs="Times New Roman"/>
          <w:sz w:val="24"/>
          <w:szCs w:val="24"/>
        </w:rPr>
        <w:t>προσέγγ</w:t>
      </w:r>
      <w:r w:rsidR="009212FB" w:rsidRPr="00282692">
        <w:rPr>
          <w:rFonts w:ascii="Times New Roman" w:hAnsi="Times New Roman" w:cs="Times New Roman"/>
          <w:sz w:val="24"/>
          <w:szCs w:val="24"/>
        </w:rPr>
        <w:t>ιση, η οποία δεν ισχύει μόνο στην ανάλυση με</w:t>
      </w:r>
      <w:r w:rsidR="007F2128" w:rsidRPr="00282692">
        <w:rPr>
          <w:rFonts w:ascii="Times New Roman" w:hAnsi="Times New Roman" w:cs="Times New Roman"/>
          <w:sz w:val="24"/>
          <w:szCs w:val="24"/>
        </w:rPr>
        <w:t xml:space="preserve"> βραχυπρόθεσμη βάση, </w:t>
      </w:r>
      <w:r w:rsidRPr="00282692">
        <w:rPr>
          <w:rFonts w:ascii="Times New Roman" w:hAnsi="Times New Roman" w:cs="Times New Roman"/>
          <w:sz w:val="24"/>
          <w:szCs w:val="24"/>
        </w:rPr>
        <w:t>προτείνεται από την Επιτροπή στην Ανακοίνωση «Κατευθύνσεις σχετικά µε τις προτεραιότητες της Επιτροπής κατά τον έλεγχο της εφαρμογής του άρθρου 82 της συνθήκης ΕΚ σε καταχρηστικές συμπεριφορές αποκλεισμού που υιοθετούν δεσπόζουσες επιχειρήσεις</w:t>
      </w:r>
      <w:r w:rsidR="007F2128" w:rsidRPr="00282692">
        <w:rPr>
          <w:rFonts w:ascii="Times New Roman" w:hAnsi="Times New Roman" w:cs="Times New Roman"/>
          <w:sz w:val="24"/>
          <w:szCs w:val="24"/>
        </w:rPr>
        <w:t>»</w:t>
      </w:r>
      <w:r w:rsidR="009212FB" w:rsidRPr="00282692">
        <w:rPr>
          <w:rStyle w:val="FootnoteReference"/>
          <w:rFonts w:ascii="Times New Roman" w:hAnsi="Times New Roman" w:cs="Times New Roman"/>
          <w:sz w:val="24"/>
          <w:szCs w:val="24"/>
        </w:rPr>
        <w:footnoteReference w:id="91"/>
      </w:r>
      <w:r w:rsidR="007F2128" w:rsidRPr="00282692">
        <w:rPr>
          <w:rFonts w:ascii="Times New Roman" w:hAnsi="Times New Roman" w:cs="Times New Roman"/>
          <w:sz w:val="24"/>
          <w:szCs w:val="24"/>
        </w:rPr>
        <w:t xml:space="preserve">. Σύμφωνα με την Ανακοίνωση αυτή, τα σημεία αναφοράς για το κόστος που είναι πιθανό να χρησιμοποιεί η Επιτροπή είναι </w:t>
      </w:r>
      <w:r w:rsidR="007F2128" w:rsidRPr="00762D8F">
        <w:rPr>
          <w:rFonts w:ascii="Times New Roman" w:hAnsi="Times New Roman" w:cs="Times New Roman"/>
          <w:b/>
          <w:sz w:val="24"/>
          <w:szCs w:val="24"/>
        </w:rPr>
        <w:t>το µέσο αποφεύξιμο κόστος (ΜΑΚ)</w:t>
      </w:r>
      <w:r w:rsidR="007F2128" w:rsidRPr="00282692">
        <w:rPr>
          <w:rFonts w:ascii="Times New Roman" w:hAnsi="Times New Roman" w:cs="Times New Roman"/>
          <w:sz w:val="24"/>
          <w:szCs w:val="24"/>
        </w:rPr>
        <w:t xml:space="preserve"> και </w:t>
      </w:r>
      <w:r w:rsidR="007F2128" w:rsidRPr="00762D8F">
        <w:rPr>
          <w:rFonts w:ascii="Times New Roman" w:hAnsi="Times New Roman" w:cs="Times New Roman"/>
          <w:b/>
          <w:sz w:val="24"/>
          <w:szCs w:val="24"/>
        </w:rPr>
        <w:t>το µέσο μακροπρόθεσμο επαυξητικό κόστος (ΜΜΕΚ)</w:t>
      </w:r>
      <w:r w:rsidR="007F2128" w:rsidRPr="00282692">
        <w:rPr>
          <w:rFonts w:ascii="Times New Roman" w:hAnsi="Times New Roman" w:cs="Times New Roman"/>
          <w:sz w:val="24"/>
          <w:szCs w:val="24"/>
        </w:rPr>
        <w:t>. Ο λόγος για την προσέγγιση</w:t>
      </w:r>
      <w:r w:rsidR="00205768" w:rsidRPr="00282692">
        <w:rPr>
          <w:rFonts w:ascii="Times New Roman" w:hAnsi="Times New Roman" w:cs="Times New Roman"/>
          <w:sz w:val="24"/>
          <w:szCs w:val="24"/>
        </w:rPr>
        <w:t xml:space="preserve"> αυτή είναι ότι, κατά το εξεταζόμενο</w:t>
      </w:r>
      <w:r w:rsidR="007F2128" w:rsidRPr="00282692">
        <w:rPr>
          <w:rFonts w:ascii="Times New Roman" w:hAnsi="Times New Roman" w:cs="Times New Roman"/>
          <w:sz w:val="24"/>
          <w:szCs w:val="24"/>
        </w:rPr>
        <w:t xml:space="preserve"> χρονικό διάστημα, η επιχείρηση είναι πιθανόν </w:t>
      </w:r>
      <w:r w:rsidR="00205768" w:rsidRPr="00282692">
        <w:rPr>
          <w:rFonts w:ascii="Times New Roman" w:hAnsi="Times New Roman" w:cs="Times New Roman"/>
          <w:sz w:val="24"/>
          <w:szCs w:val="24"/>
        </w:rPr>
        <w:t xml:space="preserve">να υποβλήθηκε σε </w:t>
      </w:r>
      <w:r w:rsidR="00205768" w:rsidRPr="00762D8F">
        <w:rPr>
          <w:rFonts w:ascii="Times New Roman" w:hAnsi="Times New Roman" w:cs="Times New Roman"/>
          <w:b/>
          <w:sz w:val="24"/>
          <w:szCs w:val="24"/>
        </w:rPr>
        <w:t>επιπρόσθετα πάγια έξοδα</w:t>
      </w:r>
      <w:r w:rsidR="00205768" w:rsidRPr="00282692">
        <w:rPr>
          <w:rFonts w:ascii="Times New Roman" w:hAnsi="Times New Roman" w:cs="Times New Roman"/>
          <w:sz w:val="24"/>
          <w:szCs w:val="24"/>
        </w:rPr>
        <w:t xml:space="preserve">. Το μέσο αποφεύξιμο κόστος περιλαμβάνει λοιπόν και τα πάγια έξοδα στα οποία υποβλήθηκε η δεσπόζουσα επιχείρηση κατά το εξεταζόμενο χρονικό διάστημα. </w:t>
      </w:r>
      <w:r w:rsidR="002A62DB" w:rsidRPr="0041572E">
        <w:rPr>
          <w:rFonts w:ascii="Times New Roman" w:hAnsi="Times New Roman" w:cs="Times New Roman"/>
          <w:b/>
          <w:sz w:val="24"/>
          <w:szCs w:val="24"/>
          <w:u w:val="single"/>
        </w:rPr>
        <w:t xml:space="preserve">Η µη κάλυψη του ΜΑΚ υποδηλώνει ότι </w:t>
      </w:r>
      <w:r w:rsidR="002A62DB" w:rsidRPr="00762D8F">
        <w:rPr>
          <w:rFonts w:ascii="Times New Roman" w:hAnsi="Times New Roman" w:cs="Times New Roman"/>
          <w:b/>
          <w:sz w:val="24"/>
          <w:szCs w:val="24"/>
          <w:u w:val="single"/>
        </w:rPr>
        <w:t>η επιχείρηση που κατέχει δεσπόζουσα θέση θυσιάζει βραχυπρόθεσµα κέρδη</w:t>
      </w:r>
      <w:r w:rsidR="00205768" w:rsidRPr="00762D8F">
        <w:rPr>
          <w:rFonts w:ascii="Times New Roman" w:hAnsi="Times New Roman" w:cs="Times New Roman"/>
          <w:b/>
          <w:sz w:val="24"/>
          <w:szCs w:val="24"/>
        </w:rPr>
        <w:t xml:space="preserve"> και, για το λόγο αυτό, μια τιμολόγηση κάτω του μέσου αποφεύξιμου κόστους κρίνεται από την Επιτροπή ως κατάχρηση δεσπόζουσας θέσης.</w:t>
      </w:r>
      <w:r w:rsidR="002A62DB" w:rsidRPr="00282692">
        <w:rPr>
          <w:rFonts w:ascii="Times New Roman" w:hAnsi="Times New Roman" w:cs="Times New Roman"/>
          <w:sz w:val="24"/>
          <w:szCs w:val="24"/>
        </w:rPr>
        <w:t xml:space="preserve"> Από την άλλη πλευρά, η εξέταση της τιμολόγησης της δεσπόζουσας επιχείρησης με κριτήριο το μέσο μακροπρόθεσμο επαυξητικό κόστος λαμβάνει υπόψη, πρώτον,</w:t>
      </w:r>
      <w:r w:rsidR="004B5C5C" w:rsidRPr="00762D8F">
        <w:rPr>
          <w:rFonts w:ascii="Times New Roman" w:hAnsi="Times New Roman" w:cs="Times New Roman"/>
          <w:b/>
          <w:sz w:val="24"/>
          <w:szCs w:val="24"/>
        </w:rPr>
        <w:t>ότι</w:t>
      </w:r>
      <w:r w:rsidR="002A62DB" w:rsidRPr="00762D8F">
        <w:rPr>
          <w:rFonts w:ascii="Times New Roman" w:hAnsi="Times New Roman" w:cs="Times New Roman"/>
          <w:b/>
          <w:sz w:val="24"/>
          <w:szCs w:val="24"/>
        </w:rPr>
        <w:t xml:space="preserve"> η υλοποίηση των επιχειρηματικών αποφάσεων μιας επιχείρησης περιλαμβάνει αναπόφευκτα μακροπρόθεσμα συνολικά κόστη</w:t>
      </w:r>
      <w:r w:rsidR="002A62DB" w:rsidRPr="00282692">
        <w:rPr>
          <w:rFonts w:ascii="Times New Roman" w:hAnsi="Times New Roman" w:cs="Times New Roman"/>
          <w:sz w:val="24"/>
          <w:szCs w:val="24"/>
        </w:rPr>
        <w:t xml:space="preserve"> και, δεύτερον, </w:t>
      </w:r>
      <w:r w:rsidR="002A62DB" w:rsidRPr="00762D8F">
        <w:rPr>
          <w:rFonts w:ascii="Times New Roman" w:hAnsi="Times New Roman" w:cs="Times New Roman"/>
          <w:b/>
          <w:sz w:val="24"/>
          <w:szCs w:val="24"/>
        </w:rPr>
        <w:t xml:space="preserve">ότι η εξέταση της τιμολόγησης της δεσπόζουσας επιχείρησης με κριτήριο το μέσο αποφεύξιμο κόστος μπορεί να </w:t>
      </w:r>
      <w:r w:rsidR="004B5C5C" w:rsidRPr="00762D8F">
        <w:rPr>
          <w:rFonts w:ascii="Times New Roman" w:hAnsi="Times New Roman" w:cs="Times New Roman"/>
          <w:b/>
          <w:sz w:val="24"/>
          <w:szCs w:val="24"/>
        </w:rPr>
        <w:t xml:space="preserve">οδηγήσει σε εσφαλμένη </w:t>
      </w:r>
      <w:r w:rsidR="004B5C5C" w:rsidRPr="00762D8F">
        <w:rPr>
          <w:rFonts w:ascii="Times New Roman" w:hAnsi="Times New Roman" w:cs="Times New Roman"/>
          <w:b/>
          <w:sz w:val="24"/>
          <w:szCs w:val="24"/>
        </w:rPr>
        <w:lastRenderedPageBreak/>
        <w:t>εκτίμηση της συμπεριφοράς της δεσπόζουσας επιχείρησης όταν τα κυμαινόμενα κόστη είναι πολύ χαμηλά σε σχέση με τα πάγια έξοδα.</w:t>
      </w:r>
      <w:r w:rsidR="004B5C5C" w:rsidRPr="00282692">
        <w:rPr>
          <w:rFonts w:ascii="Times New Roman" w:hAnsi="Times New Roman" w:cs="Times New Roman"/>
          <w:sz w:val="24"/>
          <w:szCs w:val="24"/>
        </w:rPr>
        <w:t xml:space="preserve"> Δηλαδή, το μέσο μακροπρόθεσμο επαυξητικό κόστος περιλαμβάνει το σταθερό κόστος που προέκυψε για</w:t>
      </w:r>
      <w:r w:rsidR="00932091" w:rsidRPr="00282692">
        <w:rPr>
          <w:rFonts w:ascii="Times New Roman" w:hAnsi="Times New Roman" w:cs="Times New Roman"/>
          <w:sz w:val="24"/>
          <w:szCs w:val="24"/>
        </w:rPr>
        <w:t xml:space="preserve"> το συγκεκριμένο προϊόν πριν</w:t>
      </w:r>
      <w:r w:rsidR="004B5C5C" w:rsidRPr="00282692">
        <w:rPr>
          <w:rFonts w:ascii="Times New Roman" w:hAnsi="Times New Roman" w:cs="Times New Roman"/>
          <w:sz w:val="24"/>
          <w:szCs w:val="24"/>
        </w:rPr>
        <w:t xml:space="preserve"> την περίοδο κατά τη διάρκεια της οποίας έλαβε χώρα η εικαζόμενη καταχρηστική συμπεριφορά</w:t>
      </w:r>
      <w:r w:rsidR="004B5C5C" w:rsidRPr="00282692">
        <w:rPr>
          <w:rStyle w:val="FootnoteReference"/>
          <w:rFonts w:ascii="Times New Roman" w:hAnsi="Times New Roman" w:cs="Times New Roman"/>
          <w:sz w:val="24"/>
          <w:szCs w:val="24"/>
        </w:rPr>
        <w:footnoteReference w:id="92"/>
      </w:r>
      <w:r w:rsidR="004B5C5C" w:rsidRPr="00282692">
        <w:rPr>
          <w:rFonts w:ascii="Times New Roman" w:hAnsi="Times New Roman" w:cs="Times New Roman"/>
          <w:sz w:val="24"/>
          <w:szCs w:val="24"/>
        </w:rPr>
        <w:t>.</w:t>
      </w:r>
    </w:p>
    <w:p w:rsidR="006C3835" w:rsidRPr="00282692" w:rsidRDefault="0095032B"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Η ανωτέρω προσέγγιση της Επιτροπής υιοθετήθηκε, σε κάποιο βαθμό τουλάχιστον, στην απόφαση </w:t>
      </w:r>
      <w:proofErr w:type="spellStart"/>
      <w:r w:rsidRPr="00282692">
        <w:rPr>
          <w:rFonts w:ascii="Times New Roman" w:hAnsi="Times New Roman" w:cs="Times New Roman"/>
          <w:i/>
          <w:sz w:val="24"/>
          <w:szCs w:val="24"/>
          <w:lang w:val="en-US"/>
        </w:rPr>
        <w:t>PostDanmark</w:t>
      </w:r>
      <w:proofErr w:type="spellEnd"/>
      <w:r w:rsidRPr="00282692">
        <w:rPr>
          <w:rStyle w:val="FootnoteReference"/>
          <w:rFonts w:ascii="Times New Roman" w:hAnsi="Times New Roman" w:cs="Times New Roman"/>
          <w:sz w:val="24"/>
          <w:szCs w:val="24"/>
          <w:lang w:val="en-US"/>
        </w:rPr>
        <w:footnoteReference w:id="93"/>
      </w:r>
      <w:r w:rsidR="00C963A8" w:rsidRPr="00282692">
        <w:rPr>
          <w:rFonts w:ascii="Times New Roman" w:hAnsi="Times New Roman" w:cs="Times New Roman"/>
          <w:sz w:val="24"/>
          <w:szCs w:val="24"/>
        </w:rPr>
        <w:t>. Ειδικότερα, στην προαναφερθείσα απόφαση</w:t>
      </w:r>
      <w:r w:rsidR="004F7EDE" w:rsidRPr="00282692">
        <w:rPr>
          <w:rFonts w:ascii="Times New Roman" w:hAnsi="Times New Roman" w:cs="Times New Roman"/>
          <w:sz w:val="24"/>
          <w:szCs w:val="24"/>
        </w:rPr>
        <w:t xml:space="preserve">, το Δικαστήριο ενέκρινε ρητά την αξιολόγηση της συμπεριφοράς της δεσπόζουσας επιχείρησης με κριτήριο το µέσο αποφεύξιμο κόστος (ΜΑΚ) σε υποθέσεις στις οποίες τα πάγια έξοδα της κρινόμενης επιχείρησης είναι πολύ υψηλότερα σε σχέση με τα κυμαινόμενα κόστη, ενώ επιπλέον ενέκρινε και την αξιολόγηση της συμπεριφοράς της δεσπόζουσας επιχείρησης με κριτήριο το µέσο μακροπρόθεσμο επαυξητικό κόστος (ΜΜΕΚ). </w:t>
      </w:r>
      <w:r w:rsidR="0029188B" w:rsidRPr="00282692">
        <w:rPr>
          <w:rFonts w:ascii="Times New Roman" w:hAnsi="Times New Roman" w:cs="Times New Roman"/>
          <w:sz w:val="24"/>
          <w:szCs w:val="24"/>
        </w:rPr>
        <w:t xml:space="preserve">Όπως χαρακτηριστικά αναφέρεται στην απόφαση αυτή: «στον βαθμό που η κατέχουσα δεσπόζουσα θέση επιχείρηση καθορίζει τις τιμές της σε επίπεδο που καλύπτει το μεγαλύτερο μέρος του κόστους διαθέσεως στο εμπόριο του προϊόντος ή της παροχής των εν λόγω υπηρεσιών, </w:t>
      </w:r>
      <w:r w:rsidR="0029188B" w:rsidRPr="008A40F3">
        <w:rPr>
          <w:rFonts w:ascii="Times New Roman" w:hAnsi="Times New Roman" w:cs="Times New Roman"/>
          <w:b/>
          <w:sz w:val="24"/>
          <w:szCs w:val="24"/>
        </w:rPr>
        <w:t>ένας εξίσου αποτελεσματικός</w:t>
      </w:r>
      <w:r w:rsidR="0029188B" w:rsidRPr="00282692">
        <w:rPr>
          <w:rFonts w:ascii="Times New Roman" w:hAnsi="Times New Roman" w:cs="Times New Roman"/>
          <w:sz w:val="24"/>
          <w:szCs w:val="24"/>
        </w:rPr>
        <w:t xml:space="preserve"> με την επιχείρηση αυτή ανταγωνιστής έχει, κατ’ αρχήν, τη δυνατότητα να ανταγωνιστεί τις τιμές αυτές, χωρίς να υποστεί μακροπρόθεσμα δυσβάστακτες ζημίες.»</w:t>
      </w:r>
      <w:r w:rsidR="0029188B" w:rsidRPr="00282692">
        <w:rPr>
          <w:rStyle w:val="FootnoteReference"/>
          <w:rFonts w:ascii="Times New Roman" w:hAnsi="Times New Roman" w:cs="Times New Roman"/>
          <w:sz w:val="24"/>
          <w:szCs w:val="24"/>
        </w:rPr>
        <w:footnoteReference w:id="94"/>
      </w:r>
    </w:p>
    <w:p w:rsidR="00787201" w:rsidRPr="00282692" w:rsidRDefault="00787201" w:rsidP="00282692">
      <w:pPr>
        <w:spacing w:after="0" w:line="240" w:lineRule="auto"/>
        <w:jc w:val="both"/>
        <w:rPr>
          <w:rFonts w:ascii="Times New Roman" w:hAnsi="Times New Roman" w:cs="Times New Roman"/>
          <w:sz w:val="24"/>
          <w:szCs w:val="24"/>
        </w:rPr>
      </w:pPr>
    </w:p>
    <w:p w:rsidR="00787201" w:rsidRPr="00282692" w:rsidRDefault="00AC436B" w:rsidP="002826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β</w:t>
      </w:r>
      <w:r w:rsidR="00787201" w:rsidRPr="00282692">
        <w:rPr>
          <w:rFonts w:ascii="Times New Roman" w:hAnsi="Times New Roman" w:cs="Times New Roman"/>
          <w:b/>
          <w:sz w:val="24"/>
          <w:szCs w:val="24"/>
        </w:rPr>
        <w:t xml:space="preserve">) </w:t>
      </w:r>
      <w:r w:rsidR="00042CF8" w:rsidRPr="00282692">
        <w:rPr>
          <w:rFonts w:ascii="Times New Roman" w:hAnsi="Times New Roman" w:cs="Times New Roman"/>
          <w:b/>
          <w:sz w:val="24"/>
          <w:szCs w:val="24"/>
        </w:rPr>
        <w:t>Συμπίεση των τιμών</w:t>
      </w:r>
      <w:r w:rsidR="00661B5B" w:rsidRPr="00282692">
        <w:rPr>
          <w:rFonts w:ascii="Times New Roman" w:hAnsi="Times New Roman" w:cs="Times New Roman"/>
          <w:b/>
          <w:sz w:val="24"/>
          <w:szCs w:val="24"/>
        </w:rPr>
        <w:cr/>
      </w:r>
    </w:p>
    <w:p w:rsidR="00661B5B" w:rsidRPr="00282692" w:rsidRDefault="00787201"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b/>
          <w:sz w:val="24"/>
          <w:szCs w:val="24"/>
        </w:rPr>
        <w:tab/>
      </w:r>
      <w:r w:rsidRPr="00282692">
        <w:rPr>
          <w:rFonts w:ascii="Times New Roman" w:hAnsi="Times New Roman" w:cs="Times New Roman"/>
          <w:sz w:val="24"/>
          <w:szCs w:val="24"/>
        </w:rPr>
        <w:t xml:space="preserve">Σε σχέση με την πρακτική της συμπίεσης </w:t>
      </w:r>
      <w:r w:rsidR="00042CF8" w:rsidRPr="00282692">
        <w:rPr>
          <w:rFonts w:ascii="Times New Roman" w:hAnsi="Times New Roman" w:cs="Times New Roman"/>
          <w:sz w:val="24"/>
          <w:szCs w:val="24"/>
        </w:rPr>
        <w:t>των τιμών</w:t>
      </w:r>
      <w:r w:rsidRPr="00282692">
        <w:rPr>
          <w:rFonts w:ascii="Times New Roman" w:hAnsi="Times New Roman" w:cs="Times New Roman"/>
          <w:sz w:val="24"/>
          <w:szCs w:val="24"/>
        </w:rPr>
        <w:t xml:space="preserve">, </w:t>
      </w:r>
      <w:r w:rsidR="00042CF8" w:rsidRPr="00282692">
        <w:rPr>
          <w:rFonts w:ascii="Times New Roman" w:hAnsi="Times New Roman" w:cs="Times New Roman"/>
          <w:sz w:val="24"/>
          <w:szCs w:val="24"/>
        </w:rPr>
        <w:t xml:space="preserve">η πρακτική αυτή αξιολογήθηκε νομικά με τη χρήση οικονομικών όρων για πρώτη φορά στην απόφαση </w:t>
      </w:r>
      <w:proofErr w:type="spellStart"/>
      <w:r w:rsidR="00042CF8" w:rsidRPr="00282692">
        <w:rPr>
          <w:rFonts w:ascii="Times New Roman" w:hAnsi="Times New Roman" w:cs="Times New Roman"/>
          <w:i/>
          <w:sz w:val="24"/>
          <w:szCs w:val="24"/>
          <w:lang w:val="en-US"/>
        </w:rPr>
        <w:t>Industrie</w:t>
      </w:r>
      <w:proofErr w:type="spellEnd"/>
      <w:r w:rsidR="00932091" w:rsidRPr="00282692">
        <w:rPr>
          <w:rFonts w:ascii="Times New Roman" w:hAnsi="Times New Roman" w:cs="Times New Roman"/>
          <w:i/>
          <w:sz w:val="24"/>
          <w:szCs w:val="24"/>
        </w:rPr>
        <w:t>despoudressphériques</w:t>
      </w:r>
      <w:r w:rsidR="00932091" w:rsidRPr="00282692">
        <w:rPr>
          <w:rStyle w:val="FootnoteReference"/>
          <w:rFonts w:ascii="Times New Roman" w:hAnsi="Times New Roman" w:cs="Times New Roman"/>
          <w:sz w:val="24"/>
          <w:szCs w:val="24"/>
        </w:rPr>
        <w:footnoteReference w:id="95"/>
      </w:r>
      <w:r w:rsidR="00042CF8" w:rsidRPr="00282692">
        <w:rPr>
          <w:rFonts w:ascii="Times New Roman" w:hAnsi="Times New Roman" w:cs="Times New Roman"/>
          <w:sz w:val="24"/>
          <w:szCs w:val="24"/>
        </w:rPr>
        <w:t>. Στην απόφαση αυτή, το Γενι</w:t>
      </w:r>
      <w:r w:rsidR="008A40F3">
        <w:rPr>
          <w:rFonts w:ascii="Times New Roman" w:hAnsi="Times New Roman" w:cs="Times New Roman"/>
          <w:sz w:val="24"/>
          <w:szCs w:val="24"/>
        </w:rPr>
        <w:t>κό Δικαστήριο όρισε τη συμπίεση</w:t>
      </w:r>
      <w:r w:rsidR="00042CF8" w:rsidRPr="00282692">
        <w:rPr>
          <w:rFonts w:ascii="Times New Roman" w:hAnsi="Times New Roman" w:cs="Times New Roman"/>
          <w:sz w:val="24"/>
          <w:szCs w:val="24"/>
        </w:rPr>
        <w:t xml:space="preserve"> των τιμών ως πρακτική η οποία λαμβάνει χώρα όταν «μια επιχείρηση, που κατέχει δεσπόζουσα θέση στην αγορά ενός μη τελικού προϊόντος και που η ίδια χρησιμοποιεί ένα μέρος της παραγωγής της για την παρασκευή ενός πιο επεξεργασμένου προϊόντος ενώ πωλεί στην αγορά το πλεόνασμα του μη τελικού προϊόντος, καθορίζει σε τέτοιο επίπεδο τις τιμές στις οποίες πωλεί το μη τελικό προϊόν σε τρίτους ώστε αυτοί να μην έχουν επαρκές περιθώριο μεταποιήσεως για να παραμείνουν ανταγωνιστικοί στην αγορά του μεταποιημένου προϊόντος.»</w:t>
      </w:r>
      <w:r w:rsidR="007B7385" w:rsidRPr="00282692">
        <w:rPr>
          <w:rStyle w:val="FootnoteReference"/>
          <w:rFonts w:ascii="Times New Roman" w:hAnsi="Times New Roman" w:cs="Times New Roman"/>
          <w:sz w:val="24"/>
          <w:szCs w:val="24"/>
        </w:rPr>
        <w:footnoteReference w:id="96"/>
      </w:r>
      <w:r w:rsidR="007B7385" w:rsidRPr="00282692">
        <w:rPr>
          <w:rFonts w:ascii="Times New Roman" w:hAnsi="Times New Roman" w:cs="Times New Roman"/>
          <w:sz w:val="24"/>
          <w:szCs w:val="24"/>
        </w:rPr>
        <w:t xml:space="preserve">Στην ίδια απόφαση, το Γενικό Δικαστήριο αναφέρει δύο πιθανούς τρόπους με τους οποίους είναι δυνατό να αποδειχθεί ότι υφίσταται καταχρηστική συμπίεση των τιμών. Συγκεκριμένα, απαιτείται να αποδεικνύεται είτε </w:t>
      </w:r>
      <w:r w:rsidR="007B7385" w:rsidRPr="008A40F3">
        <w:rPr>
          <w:rFonts w:ascii="Times New Roman" w:hAnsi="Times New Roman" w:cs="Times New Roman"/>
          <w:b/>
          <w:sz w:val="24"/>
          <w:szCs w:val="24"/>
        </w:rPr>
        <w:t>η ύπαρξη καταχρηστικών τιμών της πρώτης ύλης, δηλαδή η ύπαρξη καταχρηστικών τιμών στην ανάντη αγορά</w:t>
      </w:r>
      <w:r w:rsidR="007B7385" w:rsidRPr="00282692">
        <w:rPr>
          <w:rFonts w:ascii="Times New Roman" w:hAnsi="Times New Roman" w:cs="Times New Roman"/>
          <w:sz w:val="24"/>
          <w:szCs w:val="24"/>
        </w:rPr>
        <w:t xml:space="preserve">, είτε </w:t>
      </w:r>
      <w:r w:rsidR="007B7385" w:rsidRPr="008A40F3">
        <w:rPr>
          <w:rFonts w:ascii="Times New Roman" w:hAnsi="Times New Roman" w:cs="Times New Roman"/>
          <w:b/>
          <w:sz w:val="24"/>
          <w:szCs w:val="24"/>
        </w:rPr>
        <w:t>η επιθετική τιμολόγηση ως προς το μεταποιημένο προϊόν (δηλαδή, πολύ χαμηλά επίπεδα τιμών στην κατάντη αγορά)</w:t>
      </w:r>
      <w:r w:rsidR="007B7385" w:rsidRPr="00282692">
        <w:rPr>
          <w:rStyle w:val="FootnoteReference"/>
          <w:rFonts w:ascii="Times New Roman" w:hAnsi="Times New Roman" w:cs="Times New Roman"/>
          <w:sz w:val="24"/>
          <w:szCs w:val="24"/>
        </w:rPr>
        <w:footnoteReference w:id="97"/>
      </w:r>
      <w:r w:rsidR="007B7385" w:rsidRPr="00282692">
        <w:rPr>
          <w:rFonts w:ascii="Times New Roman" w:hAnsi="Times New Roman" w:cs="Times New Roman"/>
          <w:sz w:val="24"/>
          <w:szCs w:val="24"/>
        </w:rPr>
        <w:t xml:space="preserve">. Στην απόφαση </w:t>
      </w:r>
      <w:proofErr w:type="spellStart"/>
      <w:r w:rsidR="007B7385" w:rsidRPr="00282692">
        <w:rPr>
          <w:rFonts w:ascii="Times New Roman" w:hAnsi="Times New Roman" w:cs="Times New Roman"/>
          <w:i/>
          <w:sz w:val="24"/>
          <w:szCs w:val="24"/>
          <w:lang w:val="en-US"/>
        </w:rPr>
        <w:t>TeliaSonera</w:t>
      </w:r>
      <w:proofErr w:type="spellEnd"/>
      <w:r w:rsidR="007B7385" w:rsidRPr="00282692">
        <w:rPr>
          <w:rFonts w:ascii="Times New Roman" w:hAnsi="Times New Roman" w:cs="Times New Roman"/>
          <w:sz w:val="24"/>
          <w:szCs w:val="24"/>
        </w:rPr>
        <w:t xml:space="preserve">, </w:t>
      </w:r>
      <w:r w:rsidR="004F488C" w:rsidRPr="00282692">
        <w:rPr>
          <w:rFonts w:ascii="Times New Roman" w:hAnsi="Times New Roman" w:cs="Times New Roman"/>
          <w:sz w:val="24"/>
          <w:szCs w:val="24"/>
        </w:rPr>
        <w:t>το Δικαστήριο επιβεβαίωσε την προσέγγιση αυτή παρατηρώντας ότι «η συμπίεση μπορεί να προέλθει όχι μόνον από ασυνήθιστα χαμηλή τιμή λιανικής, αλλά και από ασυνήθιστα υψηλή τιμή χονδρικής.»</w:t>
      </w:r>
      <w:r w:rsidR="004F488C" w:rsidRPr="00282692">
        <w:rPr>
          <w:rStyle w:val="FootnoteReference"/>
          <w:rFonts w:ascii="Times New Roman" w:hAnsi="Times New Roman" w:cs="Times New Roman"/>
          <w:sz w:val="24"/>
          <w:szCs w:val="24"/>
        </w:rPr>
        <w:footnoteReference w:id="98"/>
      </w:r>
    </w:p>
    <w:p w:rsidR="00CA50C8" w:rsidRPr="00282692" w:rsidRDefault="00CA50C8"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lastRenderedPageBreak/>
        <w:tab/>
        <w:t xml:space="preserve">Στην απόφαση </w:t>
      </w:r>
      <w:r w:rsidRPr="00282692">
        <w:rPr>
          <w:rFonts w:ascii="Times New Roman" w:hAnsi="Times New Roman" w:cs="Times New Roman"/>
          <w:i/>
          <w:sz w:val="24"/>
          <w:szCs w:val="24"/>
          <w:lang w:val="en-US"/>
        </w:rPr>
        <w:t>DeutscheTelekom</w:t>
      </w:r>
      <w:r w:rsidR="007802CC" w:rsidRPr="00282692">
        <w:rPr>
          <w:rStyle w:val="FootnoteReference"/>
          <w:rFonts w:ascii="Times New Roman" w:hAnsi="Times New Roman" w:cs="Times New Roman"/>
          <w:sz w:val="24"/>
          <w:szCs w:val="24"/>
          <w:lang w:val="en-US"/>
        </w:rPr>
        <w:footnoteReference w:id="99"/>
      </w:r>
      <w:r w:rsidRPr="00282692">
        <w:rPr>
          <w:rFonts w:ascii="Times New Roman" w:hAnsi="Times New Roman" w:cs="Times New Roman"/>
          <w:sz w:val="24"/>
          <w:szCs w:val="24"/>
        </w:rPr>
        <w:t xml:space="preserve">, το Γενικό Δικαστήριο αναφέρθηκε με οικονομικούς όρους στο αποτέλεσμα που συνεπάγεται η πρακτική της συμπίεσης των τιμών, δηλώνοντας ότι «αν οι τιμές λιανικής της προσφεύγουσας είναι χαμηλότερες από τα τιμολόγια των υπηρεσιών χονδρικής ή αν η διαφορά μεταξύ των τιμολογίων των υπηρεσιών χονδρικής και των τιμολογίων λιανικής της προσφεύγουσας είναι ανεπαρκής για να παράσχει τη δυνατότητα σε </w:t>
      </w:r>
      <w:r w:rsidRPr="008A40F3">
        <w:rPr>
          <w:rFonts w:ascii="Times New Roman" w:hAnsi="Times New Roman" w:cs="Times New Roman"/>
          <w:b/>
          <w:sz w:val="24"/>
          <w:szCs w:val="24"/>
        </w:rPr>
        <w:t>κάποιον επιχειρηματία εξίσου αποτελεσματικό</w:t>
      </w:r>
      <w:r w:rsidRPr="00282692">
        <w:rPr>
          <w:rFonts w:ascii="Times New Roman" w:hAnsi="Times New Roman" w:cs="Times New Roman"/>
          <w:sz w:val="24"/>
          <w:szCs w:val="24"/>
        </w:rPr>
        <w:t xml:space="preserve"> με αυτήν να καλύψει το ειδικό κόστος του σχετικά με την παροχή στους συνδρομητές υπηρεσιών προσβάσεως στο δίκτυο, ένας ενδεχόμενος ανταγωνιστής εξίσου αποτελεσματικός με την προσφεύγουσα δεν θα μπορεί να εισέλθει στην αγορά των παρεχόμενων στους συνδρομητές υπηρεσιών προσβάσεως στο δίκτυο παρά μόνο ζημιωνόμενος.»</w:t>
      </w:r>
      <w:r w:rsidRPr="00282692">
        <w:rPr>
          <w:rStyle w:val="FootnoteReference"/>
          <w:rFonts w:ascii="Times New Roman" w:hAnsi="Times New Roman" w:cs="Times New Roman"/>
          <w:sz w:val="24"/>
          <w:szCs w:val="24"/>
        </w:rPr>
        <w:footnoteReference w:id="100"/>
      </w:r>
    </w:p>
    <w:p w:rsidR="00911384" w:rsidRPr="00282692" w:rsidRDefault="00CA50C8"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Ο καταχρηστικός χαρακτήρας της πρακτικής της συμπίεσης των τιμών τονίστηκε από το Δικαστήριο στην απόφαση </w:t>
      </w:r>
      <w:proofErr w:type="spellStart"/>
      <w:r w:rsidRPr="00282692">
        <w:rPr>
          <w:rFonts w:ascii="Times New Roman" w:hAnsi="Times New Roman" w:cs="Times New Roman"/>
          <w:i/>
          <w:sz w:val="24"/>
          <w:szCs w:val="24"/>
          <w:lang w:val="en-US"/>
        </w:rPr>
        <w:t>TeliaSonera</w:t>
      </w:r>
      <w:proofErr w:type="spellEnd"/>
      <w:r w:rsidRPr="00282692">
        <w:rPr>
          <w:rFonts w:ascii="Times New Roman" w:hAnsi="Times New Roman" w:cs="Times New Roman"/>
          <w:sz w:val="24"/>
          <w:szCs w:val="24"/>
        </w:rPr>
        <w:t>, στην οποία εντοπίζεται η παραδοχή ότι «η συμπίεση των περιθωρίων κέρδους που, λόγω του ότι ενδέχεται να έχει ως αποτέλεσμα τον εκτοπισμό ανταγωνιστών που είναι τουλάχιστον εξίσου αποτελεσματικοί με την κατέχουσα δεσπόζουσα θέση επιχείρηση, μπορεί, ελλείψει κάθε αντικειμενικής δικαιολογίας, να συνιστά, αυτή καθαυτήν, κατάχρηση υπό την έννοια του άρθρου 102 ΣΛΕΕ.»</w:t>
      </w:r>
      <w:r w:rsidRPr="00282692">
        <w:rPr>
          <w:rStyle w:val="FootnoteReference"/>
          <w:rFonts w:ascii="Times New Roman" w:hAnsi="Times New Roman" w:cs="Times New Roman"/>
          <w:sz w:val="24"/>
          <w:szCs w:val="24"/>
        </w:rPr>
        <w:footnoteReference w:id="101"/>
      </w:r>
      <w:r w:rsidRPr="00282692">
        <w:rPr>
          <w:rFonts w:ascii="Times New Roman" w:hAnsi="Times New Roman" w:cs="Times New Roman"/>
          <w:sz w:val="24"/>
          <w:szCs w:val="24"/>
        </w:rPr>
        <w:t xml:space="preserve"> Με τ</w:t>
      </w:r>
      <w:r w:rsidR="00911384" w:rsidRPr="00282692">
        <w:rPr>
          <w:rFonts w:ascii="Times New Roman" w:hAnsi="Times New Roman" w:cs="Times New Roman"/>
          <w:sz w:val="24"/>
          <w:szCs w:val="24"/>
        </w:rPr>
        <w:t>ην παραδοχή αυτή, το Δικαστήριο επισημαίνει αφενός το αποτέλεσμα εκτοπισμού των ανταγωνιστών που συνεπάγεται η συμπίεση των τιμών και αφετέρου το ενδεχόμενο να υπάρχει μια αντικειμενική οικονομική αιτιολόγηση η οποία να αίρει τον καταχρηστικό χαρακτήρα της εν λόγω πρακτικής.</w:t>
      </w:r>
    </w:p>
    <w:p w:rsidR="00BC05A3" w:rsidRPr="00282692" w:rsidRDefault="00BC05A3"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Η ανωτέρω παραδοχή επεξηγείται στη νομολογία των ενωσιακών δικαστηρίων. </w:t>
      </w:r>
    </w:p>
    <w:p w:rsidR="00BC05A3" w:rsidRPr="00282692" w:rsidRDefault="00BC05A3"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Ειδικότερα, η αναγνώριση του καταχρηστικού χαρακτήρα της συμπίεσης των τιμών βασίζεται </w:t>
      </w:r>
      <w:r w:rsidRPr="009D3419">
        <w:rPr>
          <w:rFonts w:ascii="Times New Roman" w:hAnsi="Times New Roman" w:cs="Times New Roman"/>
          <w:b/>
          <w:sz w:val="24"/>
          <w:szCs w:val="24"/>
        </w:rPr>
        <w:t>στην οικονομική φύσης υπόθεση</w:t>
      </w:r>
      <w:r w:rsidRPr="00282692">
        <w:rPr>
          <w:rFonts w:ascii="Times New Roman" w:hAnsi="Times New Roman" w:cs="Times New Roman"/>
          <w:sz w:val="24"/>
          <w:szCs w:val="24"/>
        </w:rPr>
        <w:t xml:space="preserve"> ότι κάθε συμπίεση τιμών βλάπτει τους εξίσου ικανούς ανταγωνιστές και για το λόγο αυτό λειτουργεί σε βάρος του ανταγωνισμού. Υπό το φως της υπόθεσης αυτής, τα ενωσιακά δικαστήρια δέχτηκαν ότι δεν είναι απαραίτητο να αποδεικνύεται ότι η εν λόγω πρακτική έχει πράγματι αποτέλεσμα αντίθετο προς τους κανόνες του ανταγωνισμού</w:t>
      </w:r>
      <w:r w:rsidRPr="00282692">
        <w:rPr>
          <w:rStyle w:val="FootnoteReference"/>
          <w:rFonts w:ascii="Times New Roman" w:hAnsi="Times New Roman" w:cs="Times New Roman"/>
          <w:sz w:val="24"/>
          <w:szCs w:val="24"/>
        </w:rPr>
        <w:footnoteReference w:id="102"/>
      </w:r>
      <w:r w:rsidRPr="00282692">
        <w:rPr>
          <w:rFonts w:ascii="Times New Roman" w:hAnsi="Times New Roman" w:cs="Times New Roman"/>
          <w:sz w:val="24"/>
          <w:szCs w:val="24"/>
        </w:rPr>
        <w:t>, αλλά αρκεί ότι πιθανολογείται ένα τέτοιο αποτέλεσμα</w:t>
      </w:r>
      <w:r w:rsidRPr="00282692">
        <w:rPr>
          <w:rStyle w:val="FootnoteReference"/>
          <w:rFonts w:ascii="Times New Roman" w:hAnsi="Times New Roman" w:cs="Times New Roman"/>
          <w:sz w:val="24"/>
          <w:szCs w:val="24"/>
        </w:rPr>
        <w:footnoteReference w:id="103"/>
      </w:r>
      <w:r w:rsidRPr="00282692">
        <w:rPr>
          <w:rFonts w:ascii="Times New Roman" w:hAnsi="Times New Roman" w:cs="Times New Roman"/>
          <w:sz w:val="24"/>
          <w:szCs w:val="24"/>
        </w:rPr>
        <w:t>.</w:t>
      </w:r>
    </w:p>
    <w:p w:rsidR="009D2EC6" w:rsidRPr="00282692" w:rsidRDefault="00BC05A3"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Από την άλλη πλευρά, το</w:t>
      </w:r>
      <w:r w:rsidR="00FF6DA2" w:rsidRPr="00282692">
        <w:rPr>
          <w:rFonts w:ascii="Times New Roman" w:hAnsi="Times New Roman" w:cs="Times New Roman"/>
          <w:sz w:val="24"/>
          <w:szCs w:val="24"/>
        </w:rPr>
        <w:t xml:space="preserve"> Δικαστήριο επιφυλάσσει στη δεσπόζουσα επιχείρηση τη δυνατότητα να αποδείξειότι</w:t>
      </w:r>
      <w:r w:rsidRPr="00282692">
        <w:rPr>
          <w:rFonts w:ascii="Times New Roman" w:hAnsi="Times New Roman" w:cs="Times New Roman"/>
          <w:sz w:val="24"/>
          <w:szCs w:val="24"/>
        </w:rPr>
        <w:t xml:space="preserve"> από την πρακτική της συμπίεσης των τιμών </w:t>
      </w:r>
      <w:r w:rsidR="00FF6DA2" w:rsidRPr="00282692">
        <w:rPr>
          <w:rFonts w:ascii="Times New Roman" w:hAnsi="Times New Roman" w:cs="Times New Roman"/>
          <w:sz w:val="24"/>
          <w:szCs w:val="24"/>
        </w:rPr>
        <w:t>που εφαρμόζει προκύπτει αύξηση της οικονομικής αποτελεσματικότητας. Ωστόσο, για να γίνει δεκτή η άμυνα αυτή, η αύξηση της οικονομικής αποτελεσματικότητας πρέπει να αντισταθμίζει το βλαπτικό αποτέλεσμα που συνεπάγεται για τον ανταγωνισμό η εν λόγω πρακτική</w:t>
      </w:r>
      <w:r w:rsidR="00FF6DA2" w:rsidRPr="00282692">
        <w:rPr>
          <w:rStyle w:val="FootnoteReference"/>
          <w:rFonts w:ascii="Times New Roman" w:hAnsi="Times New Roman" w:cs="Times New Roman"/>
          <w:sz w:val="24"/>
          <w:szCs w:val="24"/>
        </w:rPr>
        <w:footnoteReference w:id="104"/>
      </w:r>
      <w:r w:rsidR="00FF6DA2" w:rsidRPr="00282692">
        <w:rPr>
          <w:rFonts w:ascii="Times New Roman" w:hAnsi="Times New Roman" w:cs="Times New Roman"/>
          <w:sz w:val="24"/>
          <w:szCs w:val="24"/>
        </w:rPr>
        <w:t>. Αν το αποτέλεσμα εκτοπισμού της πρακτικής αυτής δεν έχει σχέση με πλεονεκτήματα για την αγορά και τους καταναλωτές ή αν βαίνει πέραν του αναγκαίου για την επίτευξη των πλεονεκτημάτων αυτών, η εν λόγω πρακτική πρέπει να θεωρηθεί καταχρηστική</w:t>
      </w:r>
      <w:r w:rsidR="00FF6DA2" w:rsidRPr="00282692">
        <w:rPr>
          <w:rStyle w:val="FootnoteReference"/>
          <w:rFonts w:ascii="Times New Roman" w:hAnsi="Times New Roman" w:cs="Times New Roman"/>
          <w:sz w:val="24"/>
          <w:szCs w:val="24"/>
        </w:rPr>
        <w:footnoteReference w:id="105"/>
      </w:r>
      <w:r w:rsidR="00FF6DA2" w:rsidRPr="00282692">
        <w:rPr>
          <w:rFonts w:ascii="Times New Roman" w:hAnsi="Times New Roman" w:cs="Times New Roman"/>
          <w:sz w:val="24"/>
          <w:szCs w:val="24"/>
        </w:rPr>
        <w:t>.</w:t>
      </w:r>
    </w:p>
    <w:p w:rsidR="009137B8" w:rsidRPr="00282692" w:rsidRDefault="0089185D"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Υπό το φωςτης </w:t>
      </w:r>
      <w:r w:rsidR="009D2EC6" w:rsidRPr="00282692">
        <w:rPr>
          <w:rFonts w:ascii="Times New Roman" w:hAnsi="Times New Roman" w:cs="Times New Roman"/>
          <w:sz w:val="24"/>
          <w:szCs w:val="24"/>
        </w:rPr>
        <w:t>παραδοχή</w:t>
      </w:r>
      <w:r w:rsidRPr="00282692">
        <w:rPr>
          <w:rFonts w:ascii="Times New Roman" w:hAnsi="Times New Roman" w:cs="Times New Roman"/>
          <w:sz w:val="24"/>
          <w:szCs w:val="24"/>
        </w:rPr>
        <w:t>ς</w:t>
      </w:r>
      <w:r w:rsidR="009D2EC6" w:rsidRPr="00282692">
        <w:rPr>
          <w:rFonts w:ascii="Times New Roman" w:hAnsi="Times New Roman" w:cs="Times New Roman"/>
          <w:sz w:val="24"/>
          <w:szCs w:val="24"/>
        </w:rPr>
        <w:t xml:space="preserve"> με την οποία το Δικαστήριο αναγνώρισε τον καταχρηστικό χαρακτήρα της συμπίεσης των τιμών,</w:t>
      </w:r>
      <w:r w:rsidRPr="00282692">
        <w:rPr>
          <w:rFonts w:ascii="Times New Roman" w:hAnsi="Times New Roman" w:cs="Times New Roman"/>
          <w:sz w:val="24"/>
          <w:szCs w:val="24"/>
        </w:rPr>
        <w:t xml:space="preserve"> τα ενωσιακά δικαστήρια τόνισαν </w:t>
      </w:r>
      <w:r w:rsidRPr="00282692">
        <w:rPr>
          <w:rFonts w:ascii="Times New Roman" w:hAnsi="Times New Roman" w:cs="Times New Roman"/>
          <w:sz w:val="24"/>
          <w:szCs w:val="24"/>
        </w:rPr>
        <w:lastRenderedPageBreak/>
        <w:t>επανειλημμένα ότι η καταχρηστικότητα της πρακτικής αυτής οφείλεται στο αποτέλεσμα εκτοπισμού που ενδέχεται η εν λόγω πρακτική να συνεπάγεται για τον «</w:t>
      </w:r>
      <w:r w:rsidR="00713E75" w:rsidRPr="00282692">
        <w:rPr>
          <w:rFonts w:ascii="Times New Roman" w:hAnsi="Times New Roman" w:cs="Times New Roman"/>
          <w:sz w:val="24"/>
          <w:szCs w:val="24"/>
        </w:rPr>
        <w:t>ικανό ανταγωνιστή</w:t>
      </w:r>
      <w:r w:rsidRPr="00282692">
        <w:rPr>
          <w:rFonts w:ascii="Times New Roman" w:hAnsi="Times New Roman" w:cs="Times New Roman"/>
          <w:sz w:val="24"/>
          <w:szCs w:val="24"/>
        </w:rPr>
        <w:t>»</w:t>
      </w:r>
      <w:r w:rsidR="00713E75" w:rsidRPr="00282692">
        <w:rPr>
          <w:rStyle w:val="FootnoteReference"/>
          <w:rFonts w:ascii="Times New Roman" w:hAnsi="Times New Roman" w:cs="Times New Roman"/>
          <w:sz w:val="24"/>
          <w:szCs w:val="24"/>
        </w:rPr>
        <w:footnoteReference w:id="106"/>
      </w:r>
      <w:r w:rsidR="00713E75" w:rsidRPr="00282692">
        <w:rPr>
          <w:rFonts w:ascii="Times New Roman" w:hAnsi="Times New Roman" w:cs="Times New Roman"/>
          <w:sz w:val="24"/>
          <w:szCs w:val="24"/>
        </w:rPr>
        <w:t xml:space="preserve"> ή για τον «εξίσου αποτελεσματικό επιχειρηματία»</w:t>
      </w:r>
      <w:r w:rsidR="00713E75" w:rsidRPr="00282692">
        <w:rPr>
          <w:rStyle w:val="FootnoteReference"/>
          <w:rFonts w:ascii="Times New Roman" w:hAnsi="Times New Roman" w:cs="Times New Roman"/>
          <w:sz w:val="24"/>
          <w:szCs w:val="24"/>
        </w:rPr>
        <w:footnoteReference w:id="107"/>
      </w:r>
      <w:r w:rsidR="00713E75" w:rsidRPr="00282692">
        <w:rPr>
          <w:rFonts w:ascii="Times New Roman" w:hAnsi="Times New Roman" w:cs="Times New Roman"/>
          <w:sz w:val="24"/>
          <w:szCs w:val="24"/>
        </w:rPr>
        <w:t xml:space="preserve"> ή για τον «εξίσου ικανό ανταγωνιστή»</w:t>
      </w:r>
      <w:r w:rsidR="00713E75" w:rsidRPr="00282692">
        <w:rPr>
          <w:rStyle w:val="FootnoteReference"/>
          <w:rFonts w:ascii="Times New Roman" w:hAnsi="Times New Roman" w:cs="Times New Roman"/>
          <w:sz w:val="24"/>
          <w:szCs w:val="24"/>
        </w:rPr>
        <w:footnoteReference w:id="108"/>
      </w:r>
      <w:r w:rsidR="00713E75" w:rsidRPr="00282692">
        <w:rPr>
          <w:rFonts w:ascii="Times New Roman" w:hAnsi="Times New Roman" w:cs="Times New Roman"/>
          <w:sz w:val="24"/>
          <w:szCs w:val="24"/>
        </w:rPr>
        <w:t xml:space="preserve">. Αντίθετα, τα ενωσιακά δικαστήρια, λαμβάνοντας υπόψη την ανάγκη να συνυπολογιστούν τα κόστη της δεσπόζουσας επιχείρησης, δεν αναφέρθηκαν σε αποτέλεσμα εκτοπισμού για τον ανταγωνιστή με «υψηλότερο κόστος μεταποίησης» σε σχέση με τη δεσπόζουσα επιχείρηση, όπως </w:t>
      </w:r>
      <w:r w:rsidR="0033382B" w:rsidRPr="00282692">
        <w:rPr>
          <w:rFonts w:ascii="Times New Roman" w:hAnsi="Times New Roman" w:cs="Times New Roman"/>
          <w:sz w:val="24"/>
          <w:szCs w:val="24"/>
        </w:rPr>
        <w:t>έμμεσα</w:t>
      </w:r>
      <w:r w:rsidR="00713E75" w:rsidRPr="00282692">
        <w:rPr>
          <w:rFonts w:ascii="Times New Roman" w:hAnsi="Times New Roman" w:cs="Times New Roman"/>
          <w:sz w:val="24"/>
          <w:szCs w:val="24"/>
        </w:rPr>
        <w:t xml:space="preserve"> προκύπτει από την απόφαση </w:t>
      </w:r>
      <w:proofErr w:type="spellStart"/>
      <w:r w:rsidR="00955B9E" w:rsidRPr="00282692">
        <w:rPr>
          <w:rFonts w:ascii="Times New Roman" w:hAnsi="Times New Roman" w:cs="Times New Roman"/>
          <w:i/>
          <w:sz w:val="24"/>
          <w:szCs w:val="24"/>
          <w:lang w:val="en-US"/>
        </w:rPr>
        <w:t>Industrie</w:t>
      </w:r>
      <w:proofErr w:type="spellEnd"/>
      <w:r w:rsidR="00955B9E" w:rsidRPr="00282692">
        <w:rPr>
          <w:rFonts w:ascii="Times New Roman" w:hAnsi="Times New Roman" w:cs="Times New Roman"/>
          <w:i/>
          <w:sz w:val="24"/>
          <w:szCs w:val="24"/>
        </w:rPr>
        <w:t>despoudressphériques</w:t>
      </w:r>
      <w:r w:rsidR="00713E75" w:rsidRPr="00282692">
        <w:rPr>
          <w:rStyle w:val="FootnoteReference"/>
          <w:rFonts w:ascii="Times New Roman" w:hAnsi="Times New Roman" w:cs="Times New Roman"/>
          <w:sz w:val="24"/>
          <w:szCs w:val="24"/>
          <w:lang w:val="en-US"/>
        </w:rPr>
        <w:footnoteReference w:id="109"/>
      </w:r>
      <w:r w:rsidR="00713E75" w:rsidRPr="00282692">
        <w:rPr>
          <w:rFonts w:ascii="Times New Roman" w:hAnsi="Times New Roman" w:cs="Times New Roman"/>
          <w:sz w:val="24"/>
          <w:szCs w:val="24"/>
        </w:rPr>
        <w:t xml:space="preserve">. Η αντίληψη αυτή </w:t>
      </w:r>
      <w:r w:rsidR="0033382B" w:rsidRPr="00282692">
        <w:rPr>
          <w:rFonts w:ascii="Times New Roman" w:hAnsi="Times New Roman" w:cs="Times New Roman"/>
          <w:sz w:val="24"/>
          <w:szCs w:val="24"/>
        </w:rPr>
        <w:t xml:space="preserve">εκφράζεται ρητά στην απόφαση </w:t>
      </w:r>
      <w:r w:rsidR="0033382B" w:rsidRPr="00282692">
        <w:rPr>
          <w:rFonts w:ascii="Times New Roman" w:hAnsi="Times New Roman" w:cs="Times New Roman"/>
          <w:i/>
          <w:sz w:val="24"/>
          <w:szCs w:val="24"/>
          <w:lang w:val="en-US"/>
        </w:rPr>
        <w:t>DeutscheTelekom</w:t>
      </w:r>
      <w:r w:rsidR="0033382B" w:rsidRPr="00282692">
        <w:rPr>
          <w:rFonts w:ascii="Times New Roman" w:hAnsi="Times New Roman" w:cs="Times New Roman"/>
          <w:sz w:val="24"/>
          <w:szCs w:val="24"/>
        </w:rPr>
        <w:t xml:space="preserve">, όπου το Γενικό Δικαστήριο ρητά εξηγεί ότι η «ισότητα ευκαιριών εξασφαλίζεται μόνον αν ο ιστορικός φορέας [η δεσπόζουσα επιχείρηση εν προκειμένω] καθορίζει τις τιμές του λιανικής σε επίπεδο που παρέχει τη δυνατότητα </w:t>
      </w:r>
      <w:r w:rsidR="009137B8" w:rsidRPr="00282692">
        <w:rPr>
          <w:rFonts w:ascii="Times New Roman" w:hAnsi="Times New Roman" w:cs="Times New Roman"/>
          <w:sz w:val="24"/>
          <w:szCs w:val="24"/>
        </w:rPr>
        <w:t>σ</w:t>
      </w:r>
      <w:r w:rsidR="0033382B" w:rsidRPr="00282692">
        <w:rPr>
          <w:rFonts w:ascii="Times New Roman" w:hAnsi="Times New Roman" w:cs="Times New Roman"/>
          <w:sz w:val="24"/>
          <w:szCs w:val="24"/>
        </w:rPr>
        <w:t>τους ανταγωνιστές –που καθ’ υπόθεση είναι εξίσου αποτελεσματικοί όσο και ο ιστορικός φορέας [η δεσπόζουσα επιχείρηση εν προκειμένω] – να μετακυλίσουν το σύνολο του κόστους που συνδέεται με την υπηρεσία χονδρικής επί των τιμών λιανικής.»</w:t>
      </w:r>
      <w:r w:rsidR="0033382B" w:rsidRPr="00282692">
        <w:rPr>
          <w:rStyle w:val="FootnoteReference"/>
          <w:rFonts w:ascii="Times New Roman" w:hAnsi="Times New Roman" w:cs="Times New Roman"/>
          <w:sz w:val="24"/>
          <w:szCs w:val="24"/>
        </w:rPr>
        <w:footnoteReference w:id="110"/>
      </w:r>
    </w:p>
    <w:p w:rsidR="003D6DF2" w:rsidRPr="00282692" w:rsidRDefault="009137B8"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Προκειμένου λοιπόν να κριθεί αν μια δεσπόζουσα επιχείρηση προέβη σε κατάχρηση της θέσης της με τη μορφή της συμπίεσης των τιμών της, πρέπει η συμπεριφορά της </w:t>
      </w:r>
      <w:r w:rsidRPr="001712AB">
        <w:rPr>
          <w:rFonts w:ascii="Times New Roman" w:hAnsi="Times New Roman" w:cs="Times New Roman"/>
          <w:b/>
          <w:sz w:val="24"/>
          <w:szCs w:val="24"/>
        </w:rPr>
        <w:t>να ελέγχεται από τη σκοπιά του εξίσου αποτελεσματικού</w:t>
      </w:r>
      <w:r w:rsidRPr="00282692">
        <w:rPr>
          <w:rFonts w:ascii="Times New Roman" w:hAnsi="Times New Roman" w:cs="Times New Roman"/>
          <w:sz w:val="24"/>
          <w:szCs w:val="24"/>
        </w:rPr>
        <w:t xml:space="preserve"> και όχι του λιγότερο αποτελεσματικού ανταγωνιστή. Όπως συναφώς επιβεβαιώνει το Γενικό Δικαστήριο στην απόφαση </w:t>
      </w:r>
      <w:r w:rsidRPr="00282692">
        <w:rPr>
          <w:rFonts w:ascii="Times New Roman" w:hAnsi="Times New Roman" w:cs="Times New Roman"/>
          <w:i/>
          <w:sz w:val="24"/>
          <w:szCs w:val="24"/>
          <w:lang w:val="en-US"/>
        </w:rPr>
        <w:t>DeutscheTelekom</w:t>
      </w:r>
      <w:r w:rsidRPr="00282692">
        <w:rPr>
          <w:rFonts w:ascii="Times New Roman" w:hAnsi="Times New Roman" w:cs="Times New Roman"/>
          <w:sz w:val="24"/>
          <w:szCs w:val="24"/>
        </w:rPr>
        <w:t>, «ο καταχρηστικός χαρακτήρας της τιμολογιακής πολιτικής μιας επιχειρήσεως με δεσπόζουσα θέση προσδιορίζεται καταρχήν σε συνάρτηση με την δική της κατάσταση και, επομένως, σε συνάρτηση με τα δικά της τιμολόγια και το δικό της κόστος και όχι σε συνάρτηση με την κατάσταση των υφιστάμενων ή ενδεχόμενων ανταγωνιστών.»</w:t>
      </w:r>
      <w:r w:rsidRPr="00282692">
        <w:rPr>
          <w:rStyle w:val="FootnoteReference"/>
          <w:rFonts w:ascii="Times New Roman" w:hAnsi="Times New Roman" w:cs="Times New Roman"/>
          <w:sz w:val="24"/>
          <w:szCs w:val="24"/>
        </w:rPr>
        <w:footnoteReference w:id="111"/>
      </w:r>
    </w:p>
    <w:p w:rsidR="00D657E2" w:rsidRPr="00282692" w:rsidRDefault="003D6DF2"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Ωστόσο, ο κανόνας του εξίσου αποτελεσματικού ανταγωνιστή υπόκειται σε μια εξαίρεση. Ειδικότερα, στην απόφαση </w:t>
      </w:r>
      <w:proofErr w:type="spellStart"/>
      <w:r w:rsidRPr="00282692">
        <w:rPr>
          <w:rFonts w:ascii="Times New Roman" w:hAnsi="Times New Roman" w:cs="Times New Roman"/>
          <w:i/>
          <w:sz w:val="24"/>
          <w:szCs w:val="24"/>
          <w:lang w:val="en-US"/>
        </w:rPr>
        <w:t>TeliaSonera</w:t>
      </w:r>
      <w:proofErr w:type="spellEnd"/>
      <w:r w:rsidRPr="00282692">
        <w:rPr>
          <w:rFonts w:ascii="Times New Roman" w:hAnsi="Times New Roman" w:cs="Times New Roman"/>
          <w:sz w:val="24"/>
          <w:szCs w:val="24"/>
        </w:rPr>
        <w:t xml:space="preserve">, το Γενικό Δικαστήριο </w:t>
      </w:r>
      <w:r w:rsidR="0051084C" w:rsidRPr="00282692">
        <w:rPr>
          <w:rFonts w:ascii="Times New Roman" w:hAnsi="Times New Roman" w:cs="Times New Roman"/>
          <w:sz w:val="24"/>
          <w:szCs w:val="24"/>
        </w:rPr>
        <w:t xml:space="preserve">δήλωσε ότι «στο πλαίσιο της εκτιμήσεως του καταχρηστικού χαρακτήρα μιας τιμολογιακής πολιτικής που καταλήγει στη συμπίεση των περιθωρίων κέρδους, πρέπει να λαμβάνονται υπόψη, κατ’ αρχήν και κατά προτεραιότητα, οι τιμές και το κόστος της οικείας επιχειρήσεως στην αγορά των παροχών λιανικής. </w:t>
      </w:r>
      <w:r w:rsidR="0051084C" w:rsidRPr="00282692">
        <w:rPr>
          <w:rFonts w:ascii="Times New Roman" w:hAnsi="Times New Roman" w:cs="Times New Roman"/>
          <w:b/>
          <w:sz w:val="24"/>
          <w:szCs w:val="24"/>
        </w:rPr>
        <w:t>Μόνον όταν δεν είναι δυνατόν, λόγω των περιστάσεων, να γίνει αναφορά στις εν λόγω τιμές και στο ως άνω κόστος, πρέπει να εξετάζονται οι τιμές και το κόστος των ανταγωνιστών στην ίδια αυτή αγορά.</w:t>
      </w:r>
      <w:r w:rsidR="0051084C" w:rsidRPr="00282692">
        <w:rPr>
          <w:rFonts w:ascii="Times New Roman" w:hAnsi="Times New Roman" w:cs="Times New Roman"/>
          <w:sz w:val="24"/>
          <w:szCs w:val="24"/>
        </w:rPr>
        <w:t>»</w:t>
      </w:r>
      <w:r w:rsidR="00287436">
        <w:rPr>
          <w:rFonts w:ascii="Times New Roman" w:hAnsi="Times New Roman" w:cs="Times New Roman"/>
          <w:sz w:val="24"/>
          <w:szCs w:val="24"/>
        </w:rPr>
        <w:t xml:space="preserve"> (η έμφαση του γράφοντος)</w:t>
      </w:r>
      <w:r w:rsidR="0051084C" w:rsidRPr="00282692">
        <w:rPr>
          <w:rStyle w:val="FootnoteReference"/>
          <w:rFonts w:ascii="Times New Roman" w:hAnsi="Times New Roman" w:cs="Times New Roman"/>
          <w:sz w:val="24"/>
          <w:szCs w:val="24"/>
        </w:rPr>
        <w:footnoteReference w:id="112"/>
      </w:r>
      <w:r w:rsidR="0051084C" w:rsidRPr="00282692">
        <w:rPr>
          <w:rFonts w:ascii="Times New Roman" w:hAnsi="Times New Roman" w:cs="Times New Roman"/>
          <w:sz w:val="24"/>
          <w:szCs w:val="24"/>
        </w:rPr>
        <w:t>Όπως περαιτέρω εξήγησε το Γενικό Δικαστήριο, η προαναφερθείσα εξαίρεση μπορεί να γίνει δεκτή «όταν η διάρθρωση του κόστους της κατέχουσας δεσπόζουσα θέση επιχειρήσεως δεν μπορεί να προσδιοριστεί επακριβώς για αντικειμενικούς λόγους ή όταν η υπηρεσία που παρέχεται στους ανταγωνιστές συνίσταται στην απλή εκμετάλλευση μιας υποδομής της οποίας το κόστος παραγωγής έχει ήδη αποσβεσθεί, οπότε η πρόσβαση στην υποδομή αυτή δεν αντιπροσωπεύει πλέον κόστος για την κατέχουσα δεσπόζουσα θέση επιχείρηση που να είναι συγκρίσιμο με το κόστος με το οποίο πρέπει να επιβαρυνθούν οι ανταγωνιστές της για να αποκτήσουν την πρόσβαση αυτή, ή ακόμα όταν το απαιτούν οι ειδικές συνθήκες του ανταγωνισμού στην αγορά λόγω, παραδείγματος χάριν, το</w:t>
      </w:r>
      <w:r w:rsidR="001712AB">
        <w:rPr>
          <w:rFonts w:ascii="Times New Roman" w:hAnsi="Times New Roman" w:cs="Times New Roman"/>
          <w:sz w:val="24"/>
          <w:szCs w:val="24"/>
        </w:rPr>
        <w:t>υ γεγονότος</w:t>
      </w:r>
      <w:r w:rsidR="0051084C" w:rsidRPr="00282692">
        <w:rPr>
          <w:rFonts w:ascii="Times New Roman" w:hAnsi="Times New Roman" w:cs="Times New Roman"/>
          <w:sz w:val="24"/>
          <w:szCs w:val="24"/>
        </w:rPr>
        <w:t xml:space="preserve"> ότι το επίπεδο του κόστους της κατέχουσας </w:t>
      </w:r>
      <w:r w:rsidR="0051084C" w:rsidRPr="00282692">
        <w:rPr>
          <w:rFonts w:ascii="Times New Roman" w:hAnsi="Times New Roman" w:cs="Times New Roman"/>
          <w:sz w:val="24"/>
          <w:szCs w:val="24"/>
        </w:rPr>
        <w:lastRenderedPageBreak/>
        <w:t>δεσπόζουσα θέση επιχειρήσεως εξαρτάται ακριβώς από την πλεονεκτική από απόψεως ανταγωνισμού κατάσταση στην οποία τελεί η επιχείρηση αυτή λόγω της δεσπόζουσας θέσεως.»</w:t>
      </w:r>
      <w:r w:rsidR="0051084C" w:rsidRPr="00282692">
        <w:rPr>
          <w:rStyle w:val="FootnoteReference"/>
          <w:rFonts w:ascii="Times New Roman" w:hAnsi="Times New Roman" w:cs="Times New Roman"/>
          <w:sz w:val="24"/>
          <w:szCs w:val="24"/>
        </w:rPr>
        <w:footnoteReference w:id="113"/>
      </w:r>
    </w:p>
    <w:p w:rsidR="00282C78" w:rsidRPr="00282692" w:rsidRDefault="00282C78" w:rsidP="00282692">
      <w:pPr>
        <w:spacing w:after="0" w:line="240" w:lineRule="auto"/>
        <w:ind w:firstLine="720"/>
        <w:jc w:val="both"/>
        <w:rPr>
          <w:rFonts w:ascii="Times New Roman" w:hAnsi="Times New Roman" w:cs="Times New Roman"/>
          <w:sz w:val="24"/>
          <w:szCs w:val="24"/>
        </w:rPr>
      </w:pPr>
    </w:p>
    <w:p w:rsidR="00F44643" w:rsidRPr="00282692" w:rsidRDefault="00AC436B" w:rsidP="002826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γ</w:t>
      </w:r>
      <w:r w:rsidR="008F0316" w:rsidRPr="00282692">
        <w:rPr>
          <w:rFonts w:ascii="Times New Roman" w:hAnsi="Times New Roman" w:cs="Times New Roman"/>
          <w:b/>
          <w:sz w:val="24"/>
          <w:szCs w:val="24"/>
        </w:rPr>
        <w:t>) Άρνηση συναλλαγής</w:t>
      </w:r>
    </w:p>
    <w:p w:rsidR="008F0316" w:rsidRPr="00282692" w:rsidRDefault="008F0316" w:rsidP="00282692">
      <w:pPr>
        <w:spacing w:after="0" w:line="240" w:lineRule="auto"/>
        <w:jc w:val="both"/>
        <w:rPr>
          <w:rFonts w:ascii="Times New Roman" w:hAnsi="Times New Roman" w:cs="Times New Roman"/>
          <w:b/>
          <w:sz w:val="24"/>
          <w:szCs w:val="24"/>
        </w:rPr>
      </w:pPr>
    </w:p>
    <w:p w:rsidR="00231C16" w:rsidRPr="00282692" w:rsidRDefault="008F0316"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r>
      <w:r w:rsidR="00772FD4" w:rsidRPr="00282692">
        <w:rPr>
          <w:rFonts w:ascii="Times New Roman" w:hAnsi="Times New Roman" w:cs="Times New Roman"/>
          <w:sz w:val="24"/>
          <w:szCs w:val="24"/>
        </w:rPr>
        <w:t>Στις πρώτες</w:t>
      </w:r>
      <w:r w:rsidRPr="00282692">
        <w:rPr>
          <w:rFonts w:ascii="Times New Roman" w:hAnsi="Times New Roman" w:cs="Times New Roman"/>
          <w:sz w:val="24"/>
          <w:szCs w:val="24"/>
        </w:rPr>
        <w:t xml:space="preserve"> αποφάσεις που εξέδωσε το Δικαστήριο στις υποθέσεις </w:t>
      </w:r>
      <w:proofErr w:type="spellStart"/>
      <w:r w:rsidRPr="00282692">
        <w:rPr>
          <w:rFonts w:ascii="Times New Roman" w:hAnsi="Times New Roman" w:cs="Times New Roman"/>
          <w:i/>
          <w:sz w:val="24"/>
          <w:szCs w:val="24"/>
          <w:lang w:val="en-US"/>
        </w:rPr>
        <w:t>CommercialSolvents</w:t>
      </w:r>
      <w:proofErr w:type="spellEnd"/>
      <w:r w:rsidRPr="00282692">
        <w:rPr>
          <w:rStyle w:val="FootnoteReference"/>
          <w:rFonts w:ascii="Times New Roman" w:hAnsi="Times New Roman" w:cs="Times New Roman"/>
          <w:sz w:val="24"/>
          <w:szCs w:val="24"/>
          <w:lang w:val="en-US"/>
        </w:rPr>
        <w:footnoteReference w:id="114"/>
      </w:r>
      <w:r w:rsidRPr="00282692">
        <w:rPr>
          <w:rFonts w:ascii="Times New Roman" w:hAnsi="Times New Roman" w:cs="Times New Roman"/>
          <w:sz w:val="24"/>
          <w:szCs w:val="24"/>
        </w:rPr>
        <w:t xml:space="preserve">, </w:t>
      </w:r>
      <w:proofErr w:type="spellStart"/>
      <w:r w:rsidRPr="00282692">
        <w:rPr>
          <w:rFonts w:ascii="Times New Roman" w:hAnsi="Times New Roman" w:cs="Times New Roman"/>
          <w:i/>
          <w:sz w:val="24"/>
          <w:szCs w:val="24"/>
          <w:lang w:val="en-US"/>
        </w:rPr>
        <w:t>UnitedBrands</w:t>
      </w:r>
      <w:proofErr w:type="spellEnd"/>
      <w:r w:rsidRPr="00282692">
        <w:rPr>
          <w:rStyle w:val="FootnoteReference"/>
          <w:rFonts w:ascii="Times New Roman" w:hAnsi="Times New Roman" w:cs="Times New Roman"/>
          <w:sz w:val="24"/>
          <w:szCs w:val="24"/>
          <w:lang w:val="en-US"/>
        </w:rPr>
        <w:footnoteReference w:id="115"/>
      </w:r>
      <w:r w:rsidRPr="00282692">
        <w:rPr>
          <w:rFonts w:ascii="Times New Roman" w:hAnsi="Times New Roman" w:cs="Times New Roman"/>
          <w:sz w:val="24"/>
          <w:szCs w:val="24"/>
        </w:rPr>
        <w:t xml:space="preserve"> και </w:t>
      </w:r>
      <w:proofErr w:type="spellStart"/>
      <w:r w:rsidRPr="00282692">
        <w:rPr>
          <w:rFonts w:ascii="Times New Roman" w:hAnsi="Times New Roman" w:cs="Times New Roman"/>
          <w:i/>
          <w:sz w:val="24"/>
          <w:szCs w:val="24"/>
          <w:lang w:val="en-US"/>
        </w:rPr>
        <w:t>BenzineenPetroleum</w:t>
      </w:r>
      <w:proofErr w:type="spellEnd"/>
      <w:r w:rsidRPr="00282692">
        <w:rPr>
          <w:rStyle w:val="FootnoteReference"/>
          <w:rFonts w:ascii="Times New Roman" w:hAnsi="Times New Roman" w:cs="Times New Roman"/>
          <w:sz w:val="24"/>
          <w:szCs w:val="24"/>
          <w:lang w:val="en-US"/>
        </w:rPr>
        <w:footnoteReference w:id="116"/>
      </w:r>
      <w:r w:rsidRPr="00282692">
        <w:rPr>
          <w:rFonts w:ascii="Times New Roman" w:hAnsi="Times New Roman" w:cs="Times New Roman"/>
          <w:sz w:val="24"/>
          <w:szCs w:val="24"/>
        </w:rPr>
        <w:t>,</w:t>
      </w:r>
      <w:r w:rsidR="00772FD4" w:rsidRPr="00282692">
        <w:rPr>
          <w:rFonts w:ascii="Times New Roman" w:hAnsi="Times New Roman" w:cs="Times New Roman"/>
          <w:sz w:val="24"/>
          <w:szCs w:val="24"/>
        </w:rPr>
        <w:t xml:space="preserve"> η αξιολόγηση της άρνησης συναλλαγής ως καταχρηστικής πρακτικής στηρίζεται στην οικονομική φύσης αντίληψη ότι οι δεσπόζουσες επιχειρήσεις λόγω της οικονομικής ισχύος τους </w:t>
      </w:r>
      <w:r w:rsidR="00BD0B4D" w:rsidRPr="00282692">
        <w:rPr>
          <w:rFonts w:ascii="Times New Roman" w:hAnsi="Times New Roman" w:cs="Times New Roman"/>
          <w:sz w:val="24"/>
          <w:szCs w:val="24"/>
        </w:rPr>
        <w:t xml:space="preserve">ασκούν σημαντική επίδραση στον ανταγωνισμό στις </w:t>
      </w:r>
      <w:r w:rsidR="00F26997" w:rsidRPr="00282692">
        <w:rPr>
          <w:rFonts w:ascii="Times New Roman" w:hAnsi="Times New Roman" w:cs="Times New Roman"/>
          <w:sz w:val="24"/>
          <w:szCs w:val="24"/>
        </w:rPr>
        <w:t>δευτερογενείς</w:t>
      </w:r>
      <w:r w:rsidR="00BD0B4D" w:rsidRPr="00282692">
        <w:rPr>
          <w:rFonts w:ascii="Times New Roman" w:hAnsi="Times New Roman" w:cs="Times New Roman"/>
          <w:sz w:val="24"/>
          <w:szCs w:val="24"/>
        </w:rPr>
        <w:t xml:space="preserve"> αγορές και για το</w:t>
      </w:r>
      <w:r w:rsidR="004520C4">
        <w:rPr>
          <w:rFonts w:ascii="Times New Roman" w:hAnsi="Times New Roman" w:cs="Times New Roman"/>
          <w:sz w:val="24"/>
          <w:szCs w:val="24"/>
        </w:rPr>
        <w:t>ν</w:t>
      </w:r>
      <w:r w:rsidR="00BD0B4D" w:rsidRPr="00282692">
        <w:rPr>
          <w:rFonts w:ascii="Times New Roman" w:hAnsi="Times New Roman" w:cs="Times New Roman"/>
          <w:sz w:val="24"/>
          <w:szCs w:val="24"/>
        </w:rPr>
        <w:t xml:space="preserve"> λόγο αυτό </w:t>
      </w:r>
      <w:r w:rsidR="00D50745" w:rsidRPr="00282692">
        <w:rPr>
          <w:rFonts w:ascii="Times New Roman" w:hAnsi="Times New Roman" w:cs="Times New Roman"/>
          <w:sz w:val="24"/>
          <w:szCs w:val="24"/>
        </w:rPr>
        <w:t xml:space="preserve">υπέχουν μια ιδιαίτερη υποχρέωση να συναλλάσσονται με μικρότερης ισχύος ανταγωνιστές στις εν λόγω αγορές. Συναφώς επισημαίνεται ότι στις προαναφερθείσες αποφάσεις το ΔΕΕ δεν απαιτεί, για τη διαπίστωση της ύπαρξης κατάχρησης δεσπόζουσας θέσης, την ύπαρξη έντονης οικονομικής εξάρτησης των </w:t>
      </w:r>
      <w:r w:rsidR="0079388A" w:rsidRPr="00282692">
        <w:rPr>
          <w:rFonts w:ascii="Times New Roman" w:hAnsi="Times New Roman" w:cs="Times New Roman"/>
          <w:sz w:val="24"/>
          <w:szCs w:val="24"/>
        </w:rPr>
        <w:t>μικρών ανταγωνιστών από τη δεσπόζουσα επιχείρηση. Αντίθετα, στις αποφάσεις αυτές κυριαρχεί η αντίληψη ότι η βλάβη του μικρού ανταγωνιστή μεταφράζεται, σχεδόν αυτόματα, σε περιορισμό του υγιούς ανταγωνισμού.</w:t>
      </w:r>
    </w:p>
    <w:p w:rsidR="005577DD" w:rsidRPr="00282692" w:rsidRDefault="00231C16"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Σε μεταγενέστερες αποφάσεις του</w:t>
      </w:r>
      <w:r w:rsidR="001D7A96" w:rsidRPr="00282692">
        <w:rPr>
          <w:rFonts w:ascii="Times New Roman" w:hAnsi="Times New Roman" w:cs="Times New Roman"/>
          <w:sz w:val="24"/>
          <w:szCs w:val="24"/>
        </w:rPr>
        <w:t xml:space="preserve"> Δικαστηρίου</w:t>
      </w:r>
      <w:r w:rsidRPr="00282692">
        <w:rPr>
          <w:rFonts w:ascii="Times New Roman" w:hAnsi="Times New Roman" w:cs="Times New Roman"/>
          <w:sz w:val="24"/>
          <w:szCs w:val="24"/>
        </w:rPr>
        <w:t>,</w:t>
      </w:r>
      <w:r w:rsidR="001D7A96" w:rsidRPr="00282692">
        <w:rPr>
          <w:rFonts w:ascii="Times New Roman" w:hAnsi="Times New Roman" w:cs="Times New Roman"/>
          <w:sz w:val="24"/>
          <w:szCs w:val="24"/>
        </w:rPr>
        <w:t xml:space="preserve"> η διαπίστωση της κατάχρησης δεσπόζουσας θέσης με τη μορφή της άρνησης συναλλαγής εξαρτήθηκε από προϋποθέσεις οικονομικής φύσης. Ειδικότερα, στην απόφαση </w:t>
      </w:r>
      <w:r w:rsidR="001D7A96" w:rsidRPr="00282692">
        <w:rPr>
          <w:rFonts w:ascii="Times New Roman" w:hAnsi="Times New Roman" w:cs="Times New Roman"/>
          <w:i/>
          <w:sz w:val="24"/>
          <w:szCs w:val="24"/>
          <w:lang w:val="en-US"/>
        </w:rPr>
        <w:t>T</w:t>
      </w:r>
      <w:r w:rsidR="001D7A96" w:rsidRPr="00282692">
        <w:rPr>
          <w:rFonts w:ascii="Times New Roman" w:hAnsi="Times New Roman" w:cs="Times New Roman"/>
          <w:i/>
          <w:sz w:val="24"/>
          <w:szCs w:val="24"/>
        </w:rPr>
        <w:t>é</w:t>
      </w:r>
      <w:r w:rsidR="001D7A96" w:rsidRPr="00282692">
        <w:rPr>
          <w:rFonts w:ascii="Times New Roman" w:hAnsi="Times New Roman" w:cs="Times New Roman"/>
          <w:i/>
          <w:sz w:val="24"/>
          <w:szCs w:val="24"/>
          <w:lang w:val="en-US"/>
        </w:rPr>
        <w:t>l</w:t>
      </w:r>
      <w:r w:rsidR="001D7A96" w:rsidRPr="00282692">
        <w:rPr>
          <w:rFonts w:ascii="Times New Roman" w:hAnsi="Times New Roman" w:cs="Times New Roman"/>
          <w:i/>
          <w:sz w:val="24"/>
          <w:szCs w:val="24"/>
        </w:rPr>
        <w:t>é</w:t>
      </w:r>
      <w:r w:rsidR="001D7A96" w:rsidRPr="00282692">
        <w:rPr>
          <w:rFonts w:ascii="Times New Roman" w:hAnsi="Times New Roman" w:cs="Times New Roman"/>
          <w:i/>
          <w:sz w:val="24"/>
          <w:szCs w:val="24"/>
          <w:lang w:val="en-US"/>
        </w:rPr>
        <w:t>marketing</w:t>
      </w:r>
      <w:r w:rsidR="001D7A96" w:rsidRPr="00282692">
        <w:rPr>
          <w:rFonts w:ascii="Times New Roman" w:hAnsi="Times New Roman" w:cs="Times New Roman"/>
          <w:sz w:val="24"/>
          <w:szCs w:val="24"/>
        </w:rPr>
        <w:t xml:space="preserve">, το Δικαστήριο τόνισε την προϋπόθεση της αναγκαιότητας </w:t>
      </w:r>
      <w:r w:rsidR="005577DD" w:rsidRPr="00282692">
        <w:rPr>
          <w:rFonts w:ascii="Times New Roman" w:hAnsi="Times New Roman" w:cs="Times New Roman"/>
          <w:sz w:val="24"/>
          <w:szCs w:val="24"/>
        </w:rPr>
        <w:t>της εισροής</w:t>
      </w:r>
      <w:r w:rsidR="001D7A96" w:rsidRPr="00282692">
        <w:rPr>
          <w:rFonts w:ascii="Times New Roman" w:hAnsi="Times New Roman" w:cs="Times New Roman"/>
          <w:sz w:val="24"/>
          <w:szCs w:val="24"/>
        </w:rPr>
        <w:t xml:space="preserve"> για τη δραστηριοποίηση των ανταγωνιστών στη</w:t>
      </w:r>
      <w:r w:rsidR="00F26997" w:rsidRPr="00282692">
        <w:rPr>
          <w:rFonts w:ascii="Times New Roman" w:hAnsi="Times New Roman" w:cs="Times New Roman"/>
          <w:sz w:val="24"/>
          <w:szCs w:val="24"/>
        </w:rPr>
        <w:t xml:space="preserve"> δευτερογενή</w:t>
      </w:r>
      <w:r w:rsidR="001D7A96" w:rsidRPr="00282692">
        <w:rPr>
          <w:rFonts w:ascii="Times New Roman" w:hAnsi="Times New Roman" w:cs="Times New Roman"/>
          <w:sz w:val="24"/>
          <w:szCs w:val="24"/>
        </w:rPr>
        <w:t xml:space="preserve"> αγορά και την προϋπόθεση της πραγματικής ή της ενδεχόμενης εξάλειψης του ανταγωνισμού στη</w:t>
      </w:r>
      <w:r w:rsidR="00F26997" w:rsidRPr="00282692">
        <w:rPr>
          <w:rFonts w:ascii="Times New Roman" w:hAnsi="Times New Roman" w:cs="Times New Roman"/>
          <w:sz w:val="24"/>
          <w:szCs w:val="24"/>
        </w:rPr>
        <w:t xml:space="preserve"> δευτερογενή</w:t>
      </w:r>
      <w:r w:rsidR="001D7A96" w:rsidRPr="00282692">
        <w:rPr>
          <w:rFonts w:ascii="Times New Roman" w:hAnsi="Times New Roman" w:cs="Times New Roman"/>
          <w:sz w:val="24"/>
          <w:szCs w:val="24"/>
        </w:rPr>
        <w:t xml:space="preserve"> αγορά ως συνέπεια της άρνησης συναλλαγής από μέρους της δεσπόζουσας επιχείρησης</w:t>
      </w:r>
      <w:r w:rsidR="00A0742C" w:rsidRPr="00282692">
        <w:rPr>
          <w:rFonts w:ascii="Times New Roman" w:hAnsi="Times New Roman" w:cs="Times New Roman"/>
          <w:sz w:val="24"/>
          <w:szCs w:val="24"/>
        </w:rPr>
        <w:t>, προκειμένου η εν λόγω άρνηση να κριθεί καταχρηστική</w:t>
      </w:r>
      <w:r w:rsidR="001D7A96" w:rsidRPr="00282692">
        <w:rPr>
          <w:rStyle w:val="FootnoteReference"/>
          <w:rFonts w:ascii="Times New Roman" w:hAnsi="Times New Roman" w:cs="Times New Roman"/>
          <w:sz w:val="24"/>
          <w:szCs w:val="24"/>
        </w:rPr>
        <w:footnoteReference w:id="117"/>
      </w:r>
      <w:r w:rsidR="001D7A96" w:rsidRPr="00282692">
        <w:rPr>
          <w:rFonts w:ascii="Times New Roman" w:hAnsi="Times New Roman" w:cs="Times New Roman"/>
          <w:sz w:val="24"/>
          <w:szCs w:val="24"/>
        </w:rPr>
        <w:t>.</w:t>
      </w:r>
    </w:p>
    <w:p w:rsidR="002A365D" w:rsidRPr="00282692" w:rsidRDefault="005577DD"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Η προϋπόθεση της αναγκαιότητας της εισροής διευκρινίστηκε στην απόφαση </w:t>
      </w:r>
      <w:r w:rsidRPr="00282692">
        <w:rPr>
          <w:rFonts w:ascii="Times New Roman" w:hAnsi="Times New Roman" w:cs="Times New Roman"/>
          <w:i/>
          <w:sz w:val="24"/>
          <w:szCs w:val="24"/>
          <w:lang w:val="en-US"/>
        </w:rPr>
        <w:t>Ladbroke</w:t>
      </w:r>
      <w:r w:rsidRPr="00282692">
        <w:rPr>
          <w:rStyle w:val="FootnoteReference"/>
          <w:rFonts w:ascii="Times New Roman" w:hAnsi="Times New Roman" w:cs="Times New Roman"/>
          <w:sz w:val="24"/>
          <w:szCs w:val="24"/>
          <w:lang w:val="en-US"/>
        </w:rPr>
        <w:footnoteReference w:id="118"/>
      </w:r>
      <w:r w:rsidRPr="00282692">
        <w:rPr>
          <w:rFonts w:ascii="Times New Roman" w:hAnsi="Times New Roman" w:cs="Times New Roman"/>
          <w:sz w:val="24"/>
          <w:szCs w:val="24"/>
        </w:rPr>
        <w:t xml:space="preserve"> και στην απόφαση </w:t>
      </w:r>
      <w:proofErr w:type="spellStart"/>
      <w:r w:rsidRPr="00282692">
        <w:rPr>
          <w:rFonts w:ascii="Times New Roman" w:hAnsi="Times New Roman" w:cs="Times New Roman"/>
          <w:i/>
          <w:sz w:val="24"/>
          <w:szCs w:val="24"/>
          <w:lang w:val="en-US"/>
        </w:rPr>
        <w:t>Bronner</w:t>
      </w:r>
      <w:proofErr w:type="spellEnd"/>
      <w:r w:rsidRPr="00282692">
        <w:rPr>
          <w:rStyle w:val="FootnoteReference"/>
          <w:rFonts w:ascii="Times New Roman" w:hAnsi="Times New Roman" w:cs="Times New Roman"/>
          <w:sz w:val="24"/>
          <w:szCs w:val="24"/>
          <w:lang w:val="en-US"/>
        </w:rPr>
        <w:footnoteReference w:id="119"/>
      </w:r>
      <w:r w:rsidRPr="00282692">
        <w:rPr>
          <w:rFonts w:ascii="Times New Roman" w:hAnsi="Times New Roman" w:cs="Times New Roman"/>
          <w:sz w:val="24"/>
          <w:szCs w:val="24"/>
        </w:rPr>
        <w:t xml:space="preserve">. Στην απόφαση </w:t>
      </w:r>
      <w:r w:rsidRPr="00282692">
        <w:rPr>
          <w:rFonts w:ascii="Times New Roman" w:hAnsi="Times New Roman" w:cs="Times New Roman"/>
          <w:i/>
          <w:sz w:val="24"/>
          <w:szCs w:val="24"/>
          <w:lang w:val="en-US"/>
        </w:rPr>
        <w:t>Ladbroke</w:t>
      </w:r>
      <w:r w:rsidRPr="00282692">
        <w:rPr>
          <w:rFonts w:ascii="Times New Roman" w:hAnsi="Times New Roman" w:cs="Times New Roman"/>
          <w:sz w:val="24"/>
          <w:szCs w:val="24"/>
        </w:rPr>
        <w:t xml:space="preserve">, το </w:t>
      </w:r>
      <w:r w:rsidR="00DF1AA0" w:rsidRPr="00282692">
        <w:rPr>
          <w:rFonts w:ascii="Times New Roman" w:hAnsi="Times New Roman" w:cs="Times New Roman"/>
          <w:sz w:val="24"/>
          <w:szCs w:val="24"/>
        </w:rPr>
        <w:t>Γενικό Δικαστήριο επισήμανε ότι η αναγκαιότητα της εισροής γίνεται δεκτή μόνο στην έκταση στην οποία η εισροή αυτή έχει επίδραση στην ανάπτυξη του πραγματικού ή εν δυνάμει αποτελεσματικού ανταγωνισμού στην επίμαχη αγορά</w:t>
      </w:r>
      <w:r w:rsidR="00DF1AA0" w:rsidRPr="00282692">
        <w:rPr>
          <w:rStyle w:val="FootnoteReference"/>
          <w:rFonts w:ascii="Times New Roman" w:hAnsi="Times New Roman" w:cs="Times New Roman"/>
          <w:sz w:val="24"/>
          <w:szCs w:val="24"/>
        </w:rPr>
        <w:footnoteReference w:id="120"/>
      </w:r>
      <w:r w:rsidR="00DF1AA0" w:rsidRPr="00282692">
        <w:rPr>
          <w:rFonts w:ascii="Times New Roman" w:hAnsi="Times New Roman" w:cs="Times New Roman"/>
          <w:sz w:val="24"/>
          <w:szCs w:val="24"/>
        </w:rPr>
        <w:t xml:space="preserve">. Στην απόφαση </w:t>
      </w:r>
      <w:proofErr w:type="spellStart"/>
      <w:r w:rsidR="00DF1AA0" w:rsidRPr="00744E91">
        <w:rPr>
          <w:rFonts w:ascii="Times New Roman" w:hAnsi="Times New Roman" w:cs="Times New Roman"/>
          <w:i/>
          <w:sz w:val="24"/>
          <w:szCs w:val="24"/>
          <w:lang w:val="en-US"/>
        </w:rPr>
        <w:t>Bronner</w:t>
      </w:r>
      <w:proofErr w:type="spellEnd"/>
      <w:r w:rsidR="00DF1AA0" w:rsidRPr="00282692">
        <w:rPr>
          <w:rFonts w:ascii="Times New Roman" w:hAnsi="Times New Roman" w:cs="Times New Roman"/>
          <w:sz w:val="24"/>
          <w:szCs w:val="24"/>
        </w:rPr>
        <w:t>, η οποία αφορούσε τη</w:t>
      </w:r>
      <w:r w:rsidR="00E45D89" w:rsidRPr="00282692">
        <w:rPr>
          <w:rFonts w:ascii="Times New Roman" w:hAnsi="Times New Roman" w:cs="Times New Roman"/>
          <w:sz w:val="24"/>
          <w:szCs w:val="24"/>
        </w:rPr>
        <w:t>ν άρνηση παροχής υπηρεσίας κατ’ οίκον</w:t>
      </w:r>
      <w:r w:rsidR="00DF1AA0" w:rsidRPr="00282692">
        <w:rPr>
          <w:rFonts w:ascii="Times New Roman" w:hAnsi="Times New Roman" w:cs="Times New Roman"/>
          <w:sz w:val="24"/>
          <w:szCs w:val="24"/>
        </w:rPr>
        <w:t xml:space="preserve"> διανομή</w:t>
      </w:r>
      <w:r w:rsidR="00E45D89" w:rsidRPr="00282692">
        <w:rPr>
          <w:rFonts w:ascii="Times New Roman" w:hAnsi="Times New Roman" w:cs="Times New Roman"/>
          <w:sz w:val="24"/>
          <w:szCs w:val="24"/>
        </w:rPr>
        <w:t>ς</w:t>
      </w:r>
      <w:r w:rsidR="00DF1AA0" w:rsidRPr="00282692">
        <w:rPr>
          <w:rFonts w:ascii="Times New Roman" w:hAnsi="Times New Roman" w:cs="Times New Roman"/>
          <w:sz w:val="24"/>
          <w:szCs w:val="24"/>
        </w:rPr>
        <w:t xml:space="preserve"> εφημερίδων, </w:t>
      </w:r>
      <w:r w:rsidR="00E45D89" w:rsidRPr="00282692">
        <w:rPr>
          <w:rFonts w:ascii="Times New Roman" w:hAnsi="Times New Roman" w:cs="Times New Roman"/>
          <w:sz w:val="24"/>
          <w:szCs w:val="24"/>
        </w:rPr>
        <w:t>το Δικαστήριο έκρινε ότι η προϋπόθεση της αναγκαιότητας συντρέχει εφόσον</w:t>
      </w:r>
      <w:r w:rsidR="00AA47C2" w:rsidRPr="00282692">
        <w:rPr>
          <w:rFonts w:ascii="Times New Roman" w:hAnsi="Times New Roman" w:cs="Times New Roman"/>
          <w:sz w:val="24"/>
          <w:szCs w:val="24"/>
        </w:rPr>
        <w:t>, πρώτον, δεν υφίσταται κανένα πραγματικό ή δυνητικό υποκατάστατο της εισροής και, δεύτερον, υπάρχουν εμπόδια στην ανάπτυξη εν δυνάμει υποκατάστατων της εισροής</w:t>
      </w:r>
      <w:r w:rsidR="00AA47C2" w:rsidRPr="00282692">
        <w:rPr>
          <w:rStyle w:val="FootnoteReference"/>
          <w:rFonts w:ascii="Times New Roman" w:hAnsi="Times New Roman" w:cs="Times New Roman"/>
          <w:sz w:val="24"/>
          <w:szCs w:val="24"/>
        </w:rPr>
        <w:footnoteReference w:id="121"/>
      </w:r>
      <w:r w:rsidR="00AA47C2" w:rsidRPr="00282692">
        <w:rPr>
          <w:rFonts w:ascii="Times New Roman" w:hAnsi="Times New Roman" w:cs="Times New Roman"/>
          <w:sz w:val="24"/>
          <w:szCs w:val="24"/>
        </w:rPr>
        <w:t>. Δηλαδή, κατά την άποψη του Δικαστηρίου, για να διαπιστωθεί ότι συντρέχει η προϋπόθεση της αναγκαιότητας της εισροής, πρέπει σε πρώτο στάδιο να εξεταστεί αν υπάρχουν προϊόντα ή υπηρεσίες που θα μπορούσαν να χαρακτηριστούν υποκατάστατα της εισροής, έστω και αν τα</w:t>
      </w:r>
      <w:r w:rsidR="00501D16" w:rsidRPr="00282692">
        <w:rPr>
          <w:rFonts w:ascii="Times New Roman" w:hAnsi="Times New Roman" w:cs="Times New Roman"/>
          <w:sz w:val="24"/>
          <w:szCs w:val="24"/>
        </w:rPr>
        <w:t xml:space="preserve"> πλεονεκτήματα των</w:t>
      </w:r>
      <w:r w:rsidR="00AA47C2" w:rsidRPr="00282692">
        <w:rPr>
          <w:rFonts w:ascii="Times New Roman" w:hAnsi="Times New Roman" w:cs="Times New Roman"/>
          <w:sz w:val="24"/>
          <w:szCs w:val="24"/>
        </w:rPr>
        <w:t xml:space="preserve"> εν λόγω </w:t>
      </w:r>
      <w:r w:rsidR="00501D16" w:rsidRPr="00282692">
        <w:rPr>
          <w:rFonts w:ascii="Times New Roman" w:hAnsi="Times New Roman" w:cs="Times New Roman"/>
          <w:sz w:val="24"/>
          <w:szCs w:val="24"/>
        </w:rPr>
        <w:t>προϊόντων ή υπηρεσιώνείναι λιγότερα σε σχέση με αυτά της εισροής</w:t>
      </w:r>
      <w:r w:rsidR="004F2C9F" w:rsidRPr="00282692">
        <w:rPr>
          <w:rStyle w:val="FootnoteReference"/>
          <w:rFonts w:ascii="Times New Roman" w:hAnsi="Times New Roman" w:cs="Times New Roman"/>
          <w:sz w:val="24"/>
          <w:szCs w:val="24"/>
        </w:rPr>
        <w:footnoteReference w:id="122"/>
      </w:r>
      <w:r w:rsidR="00501D16" w:rsidRPr="00282692">
        <w:rPr>
          <w:rFonts w:ascii="Times New Roman" w:hAnsi="Times New Roman" w:cs="Times New Roman"/>
          <w:sz w:val="24"/>
          <w:szCs w:val="24"/>
        </w:rPr>
        <w:t>.</w:t>
      </w:r>
      <w:r w:rsidR="004F2C9F" w:rsidRPr="00282692">
        <w:rPr>
          <w:rFonts w:ascii="Times New Roman" w:hAnsi="Times New Roman" w:cs="Times New Roman"/>
          <w:sz w:val="24"/>
          <w:szCs w:val="24"/>
        </w:rPr>
        <w:t xml:space="preserve"> Αν δεν υπάρχουν τέτοια υποκατάστατα, τότε σε δεύτερο στάδιο πρέπει να εξεταστεί αν υπάρχουν τεχνικά, </w:t>
      </w:r>
      <w:r w:rsidR="004F2C9F" w:rsidRPr="00282692">
        <w:rPr>
          <w:rFonts w:ascii="Times New Roman" w:hAnsi="Times New Roman" w:cs="Times New Roman"/>
          <w:sz w:val="24"/>
          <w:szCs w:val="24"/>
        </w:rPr>
        <w:lastRenderedPageBreak/>
        <w:t>νομικά ή οικονομικά εμπόδια τα οποία καθιστούν αδύνατη ή ιδιαίτερα δυσχερή την ανάπτυξη ενός υποκατάστατου της εισροής</w:t>
      </w:r>
      <w:r w:rsidR="004F2C9F" w:rsidRPr="00282692">
        <w:rPr>
          <w:rStyle w:val="FootnoteReference"/>
          <w:rFonts w:ascii="Times New Roman" w:hAnsi="Times New Roman" w:cs="Times New Roman"/>
          <w:sz w:val="24"/>
          <w:szCs w:val="24"/>
        </w:rPr>
        <w:footnoteReference w:id="123"/>
      </w:r>
      <w:r w:rsidR="004F2C9F" w:rsidRPr="00282692">
        <w:rPr>
          <w:rFonts w:ascii="Times New Roman" w:hAnsi="Times New Roman" w:cs="Times New Roman"/>
          <w:sz w:val="24"/>
          <w:szCs w:val="24"/>
        </w:rPr>
        <w:t>. Συναφώς, παρατηρείται ότι, όπως διευκρίνισε το Δικαστήριο, το γεγονός ότι η ανάπτυξη ενός υποκατάστατου της εισροής δεν εμφανίζεται συμφέρουσα από οικονομική άποψη δεν καθιστά την εισροή απολύτως απαραίτητη για την</w:t>
      </w:r>
      <w:r w:rsidR="00F26997" w:rsidRPr="00282692">
        <w:rPr>
          <w:rFonts w:ascii="Times New Roman" w:hAnsi="Times New Roman" w:cs="Times New Roman"/>
          <w:sz w:val="24"/>
          <w:szCs w:val="24"/>
        </w:rPr>
        <w:t xml:space="preserve"> ανάπτυξη του ανταγωνισμού στη δευτερογενή</w:t>
      </w:r>
      <w:r w:rsidR="004F2C9F" w:rsidRPr="00282692">
        <w:rPr>
          <w:rFonts w:ascii="Times New Roman" w:hAnsi="Times New Roman" w:cs="Times New Roman"/>
          <w:sz w:val="24"/>
          <w:szCs w:val="24"/>
        </w:rPr>
        <w:t xml:space="preserve"> αγορά</w:t>
      </w:r>
      <w:r w:rsidR="00965D5E" w:rsidRPr="00282692">
        <w:rPr>
          <w:rStyle w:val="FootnoteReference"/>
          <w:rFonts w:ascii="Times New Roman" w:hAnsi="Times New Roman" w:cs="Times New Roman"/>
          <w:sz w:val="24"/>
          <w:szCs w:val="24"/>
        </w:rPr>
        <w:footnoteReference w:id="124"/>
      </w:r>
      <w:r w:rsidR="004F2C9F" w:rsidRPr="00282692">
        <w:rPr>
          <w:rFonts w:ascii="Times New Roman" w:hAnsi="Times New Roman" w:cs="Times New Roman"/>
          <w:sz w:val="24"/>
          <w:szCs w:val="24"/>
        </w:rPr>
        <w:t>.</w:t>
      </w:r>
      <w:r w:rsidR="00965D5E" w:rsidRPr="00282692">
        <w:rPr>
          <w:rFonts w:ascii="Times New Roman" w:hAnsi="Times New Roman" w:cs="Times New Roman"/>
          <w:sz w:val="24"/>
          <w:szCs w:val="24"/>
        </w:rPr>
        <w:t xml:space="preserve"> Η δυνατότητα ανάπτυξης υποκατάστατων της αιτούμενης εισροήςαξιολογείται, λοιπόν, αντικειμενικά και όχι με γνώμονα το αν συμφέρει οικονομικά ή όχι η ανάπτυξή της από τους αιτούντες την εισροή.</w:t>
      </w:r>
    </w:p>
    <w:p w:rsidR="00C015D0" w:rsidRPr="00282692" w:rsidRDefault="002A365D"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Η προϋπόθεση της αναγκαιότητας της εισροής αναλύθηκε περαιτέρω στην απόφαση </w:t>
      </w:r>
      <w:r w:rsidRPr="00282692">
        <w:rPr>
          <w:rFonts w:ascii="Times New Roman" w:hAnsi="Times New Roman" w:cs="Times New Roman"/>
          <w:i/>
          <w:sz w:val="24"/>
          <w:szCs w:val="24"/>
          <w:lang w:val="en-US"/>
        </w:rPr>
        <w:t>IMSHealth</w:t>
      </w:r>
      <w:r w:rsidR="00C82E56" w:rsidRPr="00282692">
        <w:rPr>
          <w:rStyle w:val="FootnoteReference"/>
          <w:rFonts w:ascii="Times New Roman" w:hAnsi="Times New Roman" w:cs="Times New Roman"/>
          <w:sz w:val="24"/>
          <w:szCs w:val="24"/>
          <w:lang w:val="en-US"/>
        </w:rPr>
        <w:footnoteReference w:id="125"/>
      </w:r>
      <w:r w:rsidRPr="00282692">
        <w:rPr>
          <w:rFonts w:ascii="Times New Roman" w:hAnsi="Times New Roman" w:cs="Times New Roman"/>
          <w:sz w:val="24"/>
          <w:szCs w:val="24"/>
        </w:rPr>
        <w:t xml:space="preserve">. Στην απόφαση αυτή, η οποία αφορούσε την άρνηση χορήγησης άδειας εκμετάλλευσης δομής μωσαϊκού επί της οποίας η δεσπόζουσα επιχείρηση κατείχε δικαίωμα πνευματικής ιδιοκτησίας, το Δικαστήριο πρόσθεσε στην προϋπόθεση της αναγκαιότητας της εισροής ένα ακόμα στοιχείο, αυτό του βαθμού συμμετοχής των χρηστών στην ανάπτυξη της εν λόγω δομής και των δαπανών, ιδίως από άποψη κόστους, στις </w:t>
      </w:r>
      <w:r w:rsidR="00024E72" w:rsidRPr="00282692">
        <w:rPr>
          <w:rFonts w:ascii="Times New Roman" w:hAnsi="Times New Roman" w:cs="Times New Roman"/>
          <w:sz w:val="24"/>
          <w:szCs w:val="24"/>
        </w:rPr>
        <w:t xml:space="preserve">οποίες </w:t>
      </w:r>
      <w:r w:rsidRPr="00282692">
        <w:rPr>
          <w:rFonts w:ascii="Times New Roman" w:hAnsi="Times New Roman" w:cs="Times New Roman"/>
          <w:sz w:val="24"/>
          <w:szCs w:val="24"/>
        </w:rPr>
        <w:t xml:space="preserve">πρέπει να υποβληθούν </w:t>
      </w:r>
      <w:r w:rsidR="00024E72" w:rsidRPr="00282692">
        <w:rPr>
          <w:rFonts w:ascii="Times New Roman" w:hAnsi="Times New Roman" w:cs="Times New Roman"/>
          <w:sz w:val="24"/>
          <w:szCs w:val="24"/>
        </w:rPr>
        <w:t>οι δυνητικοί χρήστες για την ανάπτυξη ενός υποκατάστατου της εισροής, δηλαδή για την προμήθεια μελετών επί των περιφερειακών πωλήσεων φαρμακευτικών προϊόντων βασιζόμενων σε εναλλακτική δομή μωσαϊκού</w:t>
      </w:r>
      <w:r w:rsidR="00CB2363" w:rsidRPr="00282692">
        <w:rPr>
          <w:rStyle w:val="FootnoteReference"/>
          <w:rFonts w:ascii="Times New Roman" w:hAnsi="Times New Roman" w:cs="Times New Roman"/>
          <w:sz w:val="24"/>
          <w:szCs w:val="24"/>
        </w:rPr>
        <w:footnoteReference w:id="126"/>
      </w:r>
      <w:r w:rsidR="00024E72" w:rsidRPr="00282692">
        <w:rPr>
          <w:rFonts w:ascii="Times New Roman" w:hAnsi="Times New Roman" w:cs="Times New Roman"/>
          <w:sz w:val="24"/>
          <w:szCs w:val="24"/>
        </w:rPr>
        <w:t>.</w:t>
      </w:r>
      <w:r w:rsidR="00CB2363" w:rsidRPr="00282692">
        <w:rPr>
          <w:rFonts w:ascii="Times New Roman" w:hAnsi="Times New Roman" w:cs="Times New Roman"/>
          <w:sz w:val="24"/>
          <w:szCs w:val="24"/>
        </w:rPr>
        <w:t xml:space="preserve"> Η οικονομική εξήγηση της προσθήκης του στοιχείου</w:t>
      </w:r>
      <w:r w:rsidR="00223821" w:rsidRPr="00282692">
        <w:rPr>
          <w:rFonts w:ascii="Times New Roman" w:hAnsi="Times New Roman" w:cs="Times New Roman"/>
          <w:sz w:val="24"/>
          <w:szCs w:val="24"/>
        </w:rPr>
        <w:t xml:space="preserve"> αυτού</w:t>
      </w:r>
      <w:r w:rsidR="00CB2363" w:rsidRPr="00282692">
        <w:rPr>
          <w:rFonts w:ascii="Times New Roman" w:hAnsi="Times New Roman" w:cs="Times New Roman"/>
          <w:sz w:val="24"/>
          <w:szCs w:val="24"/>
        </w:rPr>
        <w:t xml:space="preserve"> βρίσκεται στο ότι ένας υψηλός βαθμός συμμετοχής ενδέχεται να δημιουργεί εξάρτηση των χρηστών οι οποίοι θα έπρεπε να υποβληθούν σε ιδιαίτερα μεγάλες δαπάνες προκειμένου να προμηθευτούν μελέτες επί των περιφερειακών πωλήσεων φαρμακευτικών προϊόντων από εναλλακτικές πηγές</w:t>
      </w:r>
      <w:r w:rsidR="00A0742C" w:rsidRPr="00282692">
        <w:rPr>
          <w:rStyle w:val="FootnoteReference"/>
          <w:rFonts w:ascii="Times New Roman" w:hAnsi="Times New Roman" w:cs="Times New Roman"/>
          <w:sz w:val="24"/>
          <w:szCs w:val="24"/>
        </w:rPr>
        <w:footnoteReference w:id="127"/>
      </w:r>
      <w:r w:rsidR="00CB2363" w:rsidRPr="00282692">
        <w:rPr>
          <w:rFonts w:ascii="Times New Roman" w:hAnsi="Times New Roman" w:cs="Times New Roman"/>
          <w:sz w:val="24"/>
          <w:szCs w:val="24"/>
        </w:rPr>
        <w:t>.</w:t>
      </w:r>
      <w:r w:rsidR="007860DF" w:rsidRPr="00282692">
        <w:rPr>
          <w:rFonts w:ascii="Times New Roman" w:hAnsi="Times New Roman" w:cs="Times New Roman"/>
          <w:sz w:val="24"/>
          <w:szCs w:val="24"/>
        </w:rPr>
        <w:t>Δηλαδή, κατά την άποψη του Δικαστηρίου, η προϋπόθεση της αναγκαιότητας συντρέχει και όταν οι χρήστες της αιτούμενης εισροής είναι αναγκασμένοι να τη χρησιμοποιούν λόγω του ότι η καταφυγή σε μια εναλλακτική εισροή θα σήμαινε ιδιαίτερα μεγάλες δαπάνες για τους εν λόγω χρήστες.</w:t>
      </w:r>
    </w:p>
    <w:p w:rsidR="00EC0AA6" w:rsidRPr="00282692" w:rsidRDefault="00B77893"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Η σημασία της οικονομικής ανάλυσης για τη διαπίστωση μιας κατάχρησης δεσπόζουσας θέσης με τη μορφή της </w:t>
      </w:r>
      <w:r w:rsidR="00011C04" w:rsidRPr="00282692">
        <w:rPr>
          <w:rFonts w:ascii="Times New Roman" w:hAnsi="Times New Roman" w:cs="Times New Roman"/>
          <w:sz w:val="24"/>
          <w:szCs w:val="24"/>
        </w:rPr>
        <w:t xml:space="preserve">άρνησης συναλλαγής διακρίνεται εντονότερα σε υποθέσεις άρνησης παραχώρησης άδειας εκμετάλλευσης δικαιώματος διανοητικής ιδιοκτησίας. </w:t>
      </w:r>
    </w:p>
    <w:p w:rsidR="00C65849" w:rsidRPr="00282692" w:rsidRDefault="00C82E56"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Στην υπόθεση</w:t>
      </w:r>
      <w:r w:rsidR="00011C04" w:rsidRPr="00282692">
        <w:rPr>
          <w:rFonts w:ascii="Times New Roman" w:hAnsi="Times New Roman" w:cs="Times New Roman"/>
          <w:i/>
          <w:sz w:val="24"/>
          <w:szCs w:val="24"/>
          <w:lang w:val="en-US"/>
        </w:rPr>
        <w:t>Magill</w:t>
      </w:r>
      <w:r w:rsidRPr="00282692">
        <w:rPr>
          <w:rStyle w:val="FootnoteReference"/>
          <w:rFonts w:ascii="Times New Roman" w:hAnsi="Times New Roman" w:cs="Times New Roman"/>
          <w:sz w:val="24"/>
          <w:szCs w:val="24"/>
          <w:lang w:val="en-US"/>
        </w:rPr>
        <w:footnoteReference w:id="128"/>
      </w:r>
      <w:r w:rsidR="00011C04" w:rsidRPr="00282692">
        <w:rPr>
          <w:rFonts w:ascii="Times New Roman" w:hAnsi="Times New Roman" w:cs="Times New Roman"/>
          <w:sz w:val="24"/>
          <w:szCs w:val="24"/>
        </w:rPr>
        <w:t>, τόσο το Γενικό Δικαστήριο όσο και το Δικαστήριο έθεσαν τέσσερις προϋποθέσεις προκειμένου μια τέτοια άρνηση να κριθεί καταχρηστική: α) Αναγκαιότητα για την παραχώρηση της άδειας</w:t>
      </w:r>
      <w:r w:rsidR="00F26997" w:rsidRPr="00282692">
        <w:rPr>
          <w:rFonts w:ascii="Times New Roman" w:hAnsi="Times New Roman" w:cs="Times New Roman"/>
          <w:sz w:val="24"/>
          <w:szCs w:val="24"/>
        </w:rPr>
        <w:t>,</w:t>
      </w:r>
      <w:r w:rsidR="00011C04" w:rsidRPr="00282692">
        <w:rPr>
          <w:rFonts w:ascii="Times New Roman" w:hAnsi="Times New Roman" w:cs="Times New Roman"/>
          <w:sz w:val="24"/>
          <w:szCs w:val="24"/>
        </w:rPr>
        <w:t xml:space="preserve"> β) </w:t>
      </w:r>
      <w:r w:rsidR="00F26997" w:rsidRPr="00282692">
        <w:rPr>
          <w:rFonts w:ascii="Times New Roman" w:hAnsi="Times New Roman" w:cs="Times New Roman"/>
          <w:sz w:val="24"/>
          <w:szCs w:val="24"/>
        </w:rPr>
        <w:t>παρεμπόδιση της παραγωγής και της διαθέσεως ενός νέου προϊόντος, για το οποίο υφίσταται</w:t>
      </w:r>
      <w:r w:rsidR="004520C4">
        <w:rPr>
          <w:rFonts w:ascii="Times New Roman" w:hAnsi="Times New Roman" w:cs="Times New Roman"/>
          <w:sz w:val="24"/>
          <w:szCs w:val="24"/>
        </w:rPr>
        <w:t xml:space="preserve"> δυνητική</w:t>
      </w:r>
      <w:r w:rsidR="00F26997" w:rsidRPr="00282692">
        <w:rPr>
          <w:rFonts w:ascii="Times New Roman" w:hAnsi="Times New Roman" w:cs="Times New Roman"/>
          <w:sz w:val="24"/>
          <w:szCs w:val="24"/>
        </w:rPr>
        <w:t xml:space="preserve"> ζήτηση εκ μέρους των καταναλωτών, γ) απουσία αντικειμενικής αιτιολόγησης και δ) αποκλεισμός του ανταγωνισμού στη δευτερογενή αγορά</w:t>
      </w:r>
      <w:r w:rsidR="00F26997" w:rsidRPr="00282692">
        <w:rPr>
          <w:rStyle w:val="FootnoteReference"/>
          <w:rFonts w:ascii="Times New Roman" w:hAnsi="Times New Roman" w:cs="Times New Roman"/>
          <w:sz w:val="24"/>
          <w:szCs w:val="24"/>
        </w:rPr>
        <w:footnoteReference w:id="129"/>
      </w:r>
      <w:r w:rsidR="00F26997" w:rsidRPr="00282692">
        <w:rPr>
          <w:rFonts w:ascii="Times New Roman" w:hAnsi="Times New Roman" w:cs="Times New Roman"/>
          <w:sz w:val="24"/>
          <w:szCs w:val="24"/>
        </w:rPr>
        <w:t>. Η δεύτερη από τις προαναφερθείσες προϋποθέσεις είναι κατεξοχήν οικονομικής φύσης.</w:t>
      </w:r>
    </w:p>
    <w:p w:rsidR="001C19A9" w:rsidRPr="00282692" w:rsidRDefault="00C65849"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Εστιάζοντας στην προϋπόθεση αυτή, παρατηρείται ότι στην προϋπόθεση αυτή αποτυπώνεται μια στάθμιση μεταξύ αφενός της προστασίας της διανοητικής ιδιοκτησίας και της ελευθερίας των συμβάσεων και αφετέρου της προστασίας του ελεύθερου ανταγωνισμού</w:t>
      </w:r>
      <w:r w:rsidR="009C5AA1" w:rsidRPr="00282692">
        <w:rPr>
          <w:rStyle w:val="FootnoteReference"/>
          <w:rFonts w:ascii="Times New Roman" w:hAnsi="Times New Roman" w:cs="Times New Roman"/>
          <w:sz w:val="24"/>
          <w:szCs w:val="24"/>
        </w:rPr>
        <w:footnoteReference w:id="130"/>
      </w:r>
      <w:r w:rsidRPr="00282692">
        <w:rPr>
          <w:rFonts w:ascii="Times New Roman" w:hAnsi="Times New Roman" w:cs="Times New Roman"/>
          <w:sz w:val="24"/>
          <w:szCs w:val="24"/>
        </w:rPr>
        <w:t>.</w:t>
      </w:r>
      <w:r w:rsidR="009C5AA1" w:rsidRPr="00282692">
        <w:rPr>
          <w:rFonts w:ascii="Times New Roman" w:hAnsi="Times New Roman" w:cs="Times New Roman"/>
          <w:sz w:val="24"/>
          <w:szCs w:val="24"/>
        </w:rPr>
        <w:t xml:space="preserve"> Σύμφωνα με το Δικαστήριο, η προστασία του ελεύθερου ανταγωνισμού υπερτερεί και η άρνηση παραχώρησης άδειας εκμετάλλευσης </w:t>
      </w:r>
      <w:r w:rsidR="009C5AA1" w:rsidRPr="00282692">
        <w:rPr>
          <w:rFonts w:ascii="Times New Roman" w:hAnsi="Times New Roman" w:cs="Times New Roman"/>
          <w:sz w:val="24"/>
          <w:szCs w:val="24"/>
        </w:rPr>
        <w:lastRenderedPageBreak/>
        <w:t>δικαιώματος διανοητικής ιδιοκτησίας είναι καταχρηστική, όταν η άρνηση αυτή «εμποδίζει την ανάπτυξη της παράγωγης αγοράς εις βάρος των καταναλωτών»</w:t>
      </w:r>
      <w:r w:rsidR="009C5AA1" w:rsidRPr="00282692">
        <w:rPr>
          <w:rStyle w:val="FootnoteReference"/>
          <w:rFonts w:ascii="Times New Roman" w:hAnsi="Times New Roman" w:cs="Times New Roman"/>
          <w:sz w:val="24"/>
          <w:szCs w:val="24"/>
        </w:rPr>
        <w:footnoteReference w:id="131"/>
      </w:r>
      <w:r w:rsidR="009C5AA1" w:rsidRPr="00282692">
        <w:rPr>
          <w:rFonts w:ascii="Times New Roman" w:hAnsi="Times New Roman" w:cs="Times New Roman"/>
          <w:sz w:val="24"/>
          <w:szCs w:val="24"/>
        </w:rPr>
        <w:t xml:space="preserve">. Με τη θέσπιση της προϋπόθεσης αυτής, η οποία λειτουργεί </w:t>
      </w:r>
      <w:r w:rsidR="00C50B00" w:rsidRPr="00282692">
        <w:rPr>
          <w:rFonts w:ascii="Times New Roman" w:hAnsi="Times New Roman" w:cs="Times New Roman"/>
          <w:sz w:val="24"/>
          <w:szCs w:val="24"/>
        </w:rPr>
        <w:t xml:space="preserve">και προς όφελος των καταναλωτών, το Δικαστήριο δείχνει ότι λαμβάνει υπόψη τις συνέπειες της άρνησης παραχώρησης άδειας εκμετάλλευσης δικαιώματος διανοητικής ιδιοκτησίας από τη δεσπόζουσα επιχείρηση για τη δυναμική αποτελεσματικότητα (παρά το γεγονός ότι ο όρος αυτός δεν αναφέρεται ρητά) </w:t>
      </w:r>
      <w:r w:rsidR="009D6142" w:rsidRPr="00282692">
        <w:rPr>
          <w:rFonts w:ascii="Times New Roman" w:hAnsi="Times New Roman" w:cs="Times New Roman"/>
          <w:sz w:val="24"/>
          <w:szCs w:val="24"/>
        </w:rPr>
        <w:t xml:space="preserve">αλλά </w:t>
      </w:r>
      <w:r w:rsidR="00C50B00" w:rsidRPr="00282692">
        <w:rPr>
          <w:rFonts w:ascii="Times New Roman" w:hAnsi="Times New Roman" w:cs="Times New Roman"/>
          <w:sz w:val="24"/>
          <w:szCs w:val="24"/>
        </w:rPr>
        <w:t xml:space="preserve">και </w:t>
      </w:r>
      <w:r w:rsidR="009D6142" w:rsidRPr="00282692">
        <w:rPr>
          <w:rFonts w:ascii="Times New Roman" w:hAnsi="Times New Roman" w:cs="Times New Roman"/>
          <w:sz w:val="24"/>
          <w:szCs w:val="24"/>
        </w:rPr>
        <w:t>τον αντίκτυπο της άρνησης αυτής στην αγορά σε μακροπρόθεσμη βάση.</w:t>
      </w:r>
    </w:p>
    <w:p w:rsidR="00EC0AA6" w:rsidRPr="00282692" w:rsidRDefault="001C19A9"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Το ζήτημα της καινοτομίας και της παραγωγής και διάθεσης ενός νέου προϊόντος εξετάστηκε περαιτέρω από το</w:t>
      </w:r>
      <w:r w:rsidR="000178E1" w:rsidRPr="00282692">
        <w:rPr>
          <w:rFonts w:ascii="Times New Roman" w:hAnsi="Times New Roman" w:cs="Times New Roman"/>
          <w:sz w:val="24"/>
          <w:szCs w:val="24"/>
        </w:rPr>
        <w:t xml:space="preserve"> Γενικό</w:t>
      </w:r>
      <w:r w:rsidRPr="00282692">
        <w:rPr>
          <w:rFonts w:ascii="Times New Roman" w:hAnsi="Times New Roman" w:cs="Times New Roman"/>
          <w:sz w:val="24"/>
          <w:szCs w:val="24"/>
        </w:rPr>
        <w:t xml:space="preserve"> Δικαστήριο στην απόφαση </w:t>
      </w:r>
      <w:r w:rsidRPr="00282692">
        <w:rPr>
          <w:rFonts w:ascii="Times New Roman" w:hAnsi="Times New Roman" w:cs="Times New Roman"/>
          <w:i/>
          <w:sz w:val="24"/>
          <w:szCs w:val="24"/>
          <w:lang w:val="en-US"/>
        </w:rPr>
        <w:t>MicrosoftI</w:t>
      </w:r>
      <w:r w:rsidR="000178E1" w:rsidRPr="00282692">
        <w:rPr>
          <w:rFonts w:ascii="Times New Roman" w:hAnsi="Times New Roman" w:cs="Times New Roman"/>
          <w:i/>
          <w:sz w:val="24"/>
          <w:szCs w:val="24"/>
        </w:rPr>
        <w:t>.</w:t>
      </w:r>
      <w:r w:rsidR="000178E1" w:rsidRPr="00282692">
        <w:rPr>
          <w:rFonts w:ascii="Times New Roman" w:hAnsi="Times New Roman" w:cs="Times New Roman"/>
          <w:sz w:val="24"/>
          <w:szCs w:val="24"/>
        </w:rPr>
        <w:t xml:space="preserve"> Στην απόφαση αυτή, το Γενικό </w:t>
      </w:r>
      <w:r w:rsidR="00B95339" w:rsidRPr="00282692">
        <w:rPr>
          <w:rFonts w:ascii="Times New Roman" w:hAnsi="Times New Roman" w:cs="Times New Roman"/>
          <w:sz w:val="24"/>
          <w:szCs w:val="24"/>
        </w:rPr>
        <w:t>Δικαστήριο</w:t>
      </w:r>
      <w:r w:rsidR="00EC0AA6" w:rsidRPr="00282692">
        <w:rPr>
          <w:rFonts w:ascii="Times New Roman" w:hAnsi="Times New Roman" w:cs="Times New Roman"/>
          <w:sz w:val="24"/>
          <w:szCs w:val="24"/>
        </w:rPr>
        <w:t>, επικυρώνοντας την προσέγγιση της Επιτροπής,</w:t>
      </w:r>
      <w:r w:rsidR="00B95339" w:rsidRPr="00282692">
        <w:rPr>
          <w:rFonts w:ascii="Times New Roman" w:hAnsi="Times New Roman" w:cs="Times New Roman"/>
          <w:sz w:val="24"/>
          <w:szCs w:val="24"/>
        </w:rPr>
        <w:t xml:space="preserve"> έκρινε ότι, για να </w:t>
      </w:r>
      <w:r w:rsidR="004520C4">
        <w:rPr>
          <w:rFonts w:ascii="Times New Roman" w:hAnsi="Times New Roman" w:cs="Times New Roman"/>
          <w:sz w:val="24"/>
          <w:szCs w:val="24"/>
        </w:rPr>
        <w:t>θεωρηθεί</w:t>
      </w:r>
      <w:r w:rsidR="00B95339" w:rsidRPr="00282692">
        <w:rPr>
          <w:rFonts w:ascii="Times New Roman" w:hAnsi="Times New Roman" w:cs="Times New Roman"/>
          <w:sz w:val="24"/>
          <w:szCs w:val="24"/>
        </w:rPr>
        <w:t xml:space="preserve"> η άρνηση παραχώρησης άδειας εκμετάλλευσης δικαιώματος διανο</w:t>
      </w:r>
      <w:r w:rsidR="00EC0AA6" w:rsidRPr="00282692">
        <w:rPr>
          <w:rFonts w:ascii="Times New Roman" w:hAnsi="Times New Roman" w:cs="Times New Roman"/>
          <w:sz w:val="24"/>
          <w:szCs w:val="24"/>
        </w:rPr>
        <w:t>ητικής ιδιοκτησίας καταχρηστική, η προαναφερθείσα άρνηση πρέπει να λειτουργεί σε βάρος του συμφερόντων των καταναλωτών είτε επειδή συνεπάγεται τον περιορισμό της παραγωγής ή της διάθεσης ενός νέου προϊόντος είτε επειδή συνεπάγεται τον περιορισμό της τεχνολογικής ανάπτυξης</w:t>
      </w:r>
      <w:r w:rsidR="00EC0AA6" w:rsidRPr="00282692">
        <w:rPr>
          <w:rStyle w:val="FootnoteReference"/>
          <w:rFonts w:ascii="Times New Roman" w:hAnsi="Times New Roman" w:cs="Times New Roman"/>
          <w:sz w:val="24"/>
          <w:szCs w:val="24"/>
        </w:rPr>
        <w:footnoteReference w:id="132"/>
      </w:r>
      <w:r w:rsidR="00EC0AA6" w:rsidRPr="00282692">
        <w:rPr>
          <w:rFonts w:ascii="Times New Roman" w:hAnsi="Times New Roman" w:cs="Times New Roman"/>
          <w:sz w:val="24"/>
          <w:szCs w:val="24"/>
        </w:rPr>
        <w:t xml:space="preserve">. </w:t>
      </w:r>
    </w:p>
    <w:p w:rsidR="005C47A7" w:rsidRPr="00282692" w:rsidRDefault="00830F94"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Στην</w:t>
      </w:r>
      <w:r w:rsidR="00EC0AA6" w:rsidRPr="00282692">
        <w:rPr>
          <w:rFonts w:ascii="Times New Roman" w:hAnsi="Times New Roman" w:cs="Times New Roman"/>
          <w:sz w:val="24"/>
          <w:szCs w:val="24"/>
        </w:rPr>
        <w:t xml:space="preserve"> απόφαση </w:t>
      </w:r>
      <w:r w:rsidR="00EC0AA6" w:rsidRPr="00282692">
        <w:rPr>
          <w:rFonts w:ascii="Times New Roman" w:hAnsi="Times New Roman" w:cs="Times New Roman"/>
          <w:i/>
          <w:sz w:val="24"/>
          <w:szCs w:val="24"/>
          <w:lang w:val="en-US"/>
        </w:rPr>
        <w:t>MicrosoftI</w:t>
      </w:r>
      <w:r w:rsidRPr="00282692">
        <w:rPr>
          <w:rFonts w:ascii="Times New Roman" w:hAnsi="Times New Roman" w:cs="Times New Roman"/>
          <w:sz w:val="24"/>
          <w:szCs w:val="24"/>
        </w:rPr>
        <w:t>, το Γενικό Δικαστήριο</w:t>
      </w:r>
      <w:r w:rsidR="00EC0AA6" w:rsidRPr="00282692">
        <w:rPr>
          <w:rFonts w:ascii="Times New Roman" w:hAnsi="Times New Roman" w:cs="Times New Roman"/>
          <w:sz w:val="24"/>
          <w:szCs w:val="24"/>
        </w:rPr>
        <w:t xml:space="preserve"> εξειδ</w:t>
      </w:r>
      <w:r w:rsidRPr="00282692">
        <w:rPr>
          <w:rFonts w:ascii="Times New Roman" w:hAnsi="Times New Roman" w:cs="Times New Roman"/>
          <w:sz w:val="24"/>
          <w:szCs w:val="24"/>
        </w:rPr>
        <w:t xml:space="preserve">ίκευσεμε τη χρήση οικονομικών όρων και την προϋπόθεση του αποκλεισμού του ανταγωνισμού στη δευτερογενή αγορά. Ειδικότερα, στην απόφαση αυτή, το Γενικό Δικαστήριο </w:t>
      </w:r>
      <w:r w:rsidR="000B4592" w:rsidRPr="00282692">
        <w:rPr>
          <w:rFonts w:ascii="Times New Roman" w:hAnsi="Times New Roman" w:cs="Times New Roman"/>
          <w:sz w:val="24"/>
          <w:szCs w:val="24"/>
        </w:rPr>
        <w:t xml:space="preserve">επικύρωσε την άποψη της Επιτροπής ότι η </w:t>
      </w:r>
      <w:r w:rsidR="000B4592" w:rsidRPr="00282692">
        <w:rPr>
          <w:rFonts w:ascii="Times New Roman" w:hAnsi="Times New Roman" w:cs="Times New Roman"/>
          <w:sz w:val="24"/>
          <w:szCs w:val="24"/>
          <w:lang w:val="en-US"/>
        </w:rPr>
        <w:t>Microsoft</w:t>
      </w:r>
      <w:r w:rsidR="000B4592" w:rsidRPr="00282692">
        <w:rPr>
          <w:rFonts w:ascii="Times New Roman" w:hAnsi="Times New Roman" w:cs="Times New Roman"/>
          <w:sz w:val="24"/>
          <w:szCs w:val="24"/>
        </w:rPr>
        <w:t xml:space="preserve"> ήταν σε θέση να χρησιμοποιήσει το οιονεί μονοπώλιο που κατείχε στην αγορά </w:t>
      </w:r>
      <w:r w:rsidR="007177A4" w:rsidRPr="00282692">
        <w:rPr>
          <w:rFonts w:ascii="Times New Roman" w:hAnsi="Times New Roman" w:cs="Times New Roman"/>
          <w:sz w:val="24"/>
          <w:szCs w:val="24"/>
        </w:rPr>
        <w:t xml:space="preserve">του </w:t>
      </w:r>
      <w:r w:rsidR="000B4592" w:rsidRPr="00282692">
        <w:rPr>
          <w:rFonts w:ascii="Times New Roman" w:hAnsi="Times New Roman" w:cs="Times New Roman"/>
          <w:sz w:val="24"/>
          <w:szCs w:val="24"/>
        </w:rPr>
        <w:t xml:space="preserve">προηγούμενου σταδίου (αγορά των λειτουργικών συστημάτων για προσωπικούς υπολογιστές πελάτη) για να επηρεάσει τη λειτουργία της αγοράς στο επόμενο επίπεδο (αγορά των λειτουργικών συστημάτων για διακομιστές ομάδας εργασίας), </w:t>
      </w:r>
      <w:r w:rsidR="007177A4" w:rsidRPr="00282692">
        <w:rPr>
          <w:rFonts w:ascii="Times New Roman" w:hAnsi="Times New Roman" w:cs="Times New Roman"/>
          <w:sz w:val="24"/>
          <w:szCs w:val="24"/>
        </w:rPr>
        <w:t xml:space="preserve">χρησιμοποιώντας τη μόχλευση που της προσέφερε η οικονομική ισχύς που κατείχε στην αγορά του προηγούμενου σταδίου </w:t>
      </w:r>
      <w:r w:rsidR="000B4592" w:rsidRPr="00282692">
        <w:rPr>
          <w:rFonts w:ascii="Times New Roman" w:hAnsi="Times New Roman" w:cs="Times New Roman"/>
          <w:sz w:val="24"/>
          <w:szCs w:val="24"/>
        </w:rPr>
        <w:t>(</w:t>
      </w:r>
      <w:r w:rsidR="000B4592" w:rsidRPr="00282692">
        <w:rPr>
          <w:rFonts w:ascii="Times New Roman" w:hAnsi="Times New Roman" w:cs="Times New Roman"/>
          <w:sz w:val="24"/>
          <w:szCs w:val="24"/>
          <w:lang w:val="en-US"/>
        </w:rPr>
        <w:t>leveraging</w:t>
      </w:r>
      <w:r w:rsidR="000B4592" w:rsidRPr="00282692">
        <w:rPr>
          <w:rFonts w:ascii="Times New Roman" w:hAnsi="Times New Roman" w:cs="Times New Roman"/>
          <w:sz w:val="24"/>
          <w:szCs w:val="24"/>
        </w:rPr>
        <w:t>)</w:t>
      </w:r>
      <w:r w:rsidR="00F1058D" w:rsidRPr="00282692">
        <w:rPr>
          <w:rStyle w:val="FootnoteReference"/>
          <w:rFonts w:ascii="Times New Roman" w:hAnsi="Times New Roman" w:cs="Times New Roman"/>
          <w:sz w:val="24"/>
          <w:szCs w:val="24"/>
        </w:rPr>
        <w:footnoteReference w:id="133"/>
      </w:r>
      <w:r w:rsidR="000B4592" w:rsidRPr="00282692">
        <w:rPr>
          <w:rFonts w:ascii="Times New Roman" w:hAnsi="Times New Roman" w:cs="Times New Roman"/>
          <w:sz w:val="24"/>
          <w:szCs w:val="24"/>
        </w:rPr>
        <w:t xml:space="preserve">. Συνέπεια της διαπίστωσης αυτής ήταν ότι δεν κρίθηκε απαραίτητο από το Γενικό Δικαστήριο να εξεταστεί αν η </w:t>
      </w:r>
      <w:r w:rsidR="000B4592" w:rsidRPr="00282692">
        <w:rPr>
          <w:rFonts w:ascii="Times New Roman" w:hAnsi="Times New Roman" w:cs="Times New Roman"/>
          <w:sz w:val="24"/>
          <w:szCs w:val="24"/>
          <w:lang w:val="en-US"/>
        </w:rPr>
        <w:t>Microsoft</w:t>
      </w:r>
      <w:r w:rsidR="000B4592" w:rsidRPr="00282692">
        <w:rPr>
          <w:rFonts w:ascii="Times New Roman" w:hAnsi="Times New Roman" w:cs="Times New Roman"/>
          <w:sz w:val="24"/>
          <w:szCs w:val="24"/>
        </w:rPr>
        <w:t xml:space="preserve"> κατείχε δεσπόζουσα θέση και στην αγορά των λειτουργικών συστημάτων για διακομιστές ομάδας εργασίας</w:t>
      </w:r>
      <w:r w:rsidR="000B4592" w:rsidRPr="00282692">
        <w:rPr>
          <w:rStyle w:val="FootnoteReference"/>
          <w:rFonts w:ascii="Times New Roman" w:hAnsi="Times New Roman" w:cs="Times New Roman"/>
          <w:sz w:val="24"/>
          <w:szCs w:val="24"/>
        </w:rPr>
        <w:footnoteReference w:id="134"/>
      </w:r>
      <w:r w:rsidR="000B4592" w:rsidRPr="00282692">
        <w:rPr>
          <w:rFonts w:ascii="Times New Roman" w:hAnsi="Times New Roman" w:cs="Times New Roman"/>
          <w:sz w:val="24"/>
          <w:szCs w:val="24"/>
        </w:rPr>
        <w:t>.</w:t>
      </w:r>
      <w:r w:rsidR="00F1058D" w:rsidRPr="00282692">
        <w:rPr>
          <w:rFonts w:ascii="Times New Roman" w:hAnsi="Times New Roman" w:cs="Times New Roman"/>
          <w:sz w:val="24"/>
          <w:szCs w:val="24"/>
        </w:rPr>
        <w:t>Περαιτέρω το Γενικό Δικαστήριο έκρινε ότι η Επιτροπή θεμελίωσε επαρκώς την εκτίμησή της περί ύπαρξης ενδεχομένου εξάλειψης του ανταγωνισμού στην αγορά του επόμενου σταδίου</w:t>
      </w:r>
      <w:r w:rsidR="00025B03" w:rsidRPr="00282692">
        <w:rPr>
          <w:rFonts w:ascii="Times New Roman" w:hAnsi="Times New Roman" w:cs="Times New Roman"/>
          <w:sz w:val="24"/>
          <w:szCs w:val="24"/>
        </w:rPr>
        <w:t>, δεδομένου, πρώτον, ότι η αγορά αυτή χαρακτηρίζεται από σημαντικά αποτελέσματα δικτύου και, δεύτερον, ότι ενδεχόμενη εξάλειψη του ανταγωνισμού στην εν λόγω αγορά θα ήταν δύσκολα αναστρέψιμη</w:t>
      </w:r>
      <w:r w:rsidR="00F1058D" w:rsidRPr="00282692">
        <w:rPr>
          <w:rStyle w:val="FootnoteReference"/>
          <w:rFonts w:ascii="Times New Roman" w:hAnsi="Times New Roman" w:cs="Times New Roman"/>
          <w:sz w:val="24"/>
          <w:szCs w:val="24"/>
        </w:rPr>
        <w:footnoteReference w:id="135"/>
      </w:r>
      <w:r w:rsidR="00F1058D" w:rsidRPr="00282692">
        <w:rPr>
          <w:rFonts w:ascii="Times New Roman" w:hAnsi="Times New Roman" w:cs="Times New Roman"/>
          <w:sz w:val="24"/>
          <w:szCs w:val="24"/>
        </w:rPr>
        <w:t>.</w:t>
      </w:r>
      <w:r w:rsidR="00025B03" w:rsidRPr="00282692">
        <w:rPr>
          <w:rFonts w:ascii="Times New Roman" w:hAnsi="Times New Roman" w:cs="Times New Roman"/>
          <w:sz w:val="24"/>
          <w:szCs w:val="24"/>
        </w:rPr>
        <w:t xml:space="preserve"> Επίσης, το Γενικό Δικαστήριο τόνισε τη σημασία της προληπτικής δράσης της Επιτροπής, επισημαίνοντας ότι</w:t>
      </w:r>
      <w:r w:rsidR="00242008">
        <w:rPr>
          <w:rFonts w:ascii="Times New Roman" w:hAnsi="Times New Roman" w:cs="Times New Roman"/>
          <w:sz w:val="24"/>
          <w:szCs w:val="24"/>
        </w:rPr>
        <w:t>,</w:t>
      </w:r>
      <w:r w:rsidR="00025B03" w:rsidRPr="00282692">
        <w:rPr>
          <w:rFonts w:ascii="Times New Roman" w:hAnsi="Times New Roman" w:cs="Times New Roman"/>
          <w:sz w:val="24"/>
          <w:szCs w:val="24"/>
        </w:rPr>
        <w:t xml:space="preserve"> «αν η Επιτροπή έπρεπε, προκειμένου να παρέ</w:t>
      </w:r>
      <w:r w:rsidR="00F625FB" w:rsidRPr="00282692">
        <w:rPr>
          <w:rFonts w:ascii="Times New Roman" w:hAnsi="Times New Roman" w:cs="Times New Roman"/>
          <w:sz w:val="24"/>
          <w:szCs w:val="24"/>
        </w:rPr>
        <w:t>μβει δυνάμει της διάταξης [του άρθρου 82 ΣυνθΕΚ (νυν άρθρου 102 ΣΛΕΕ)]</w:t>
      </w:r>
      <w:r w:rsidR="00025B03" w:rsidRPr="00282692">
        <w:rPr>
          <w:rFonts w:ascii="Times New Roman" w:hAnsi="Times New Roman" w:cs="Times New Roman"/>
          <w:sz w:val="24"/>
          <w:szCs w:val="24"/>
        </w:rPr>
        <w:t>, να αναμείνει μέχρις ότου εξαλειφθούν οι ανταγωνιστές από την αγορά ή μέχρις ότου καταστεί βέβαιο ότι επίκειται η εξάλειψή τους, τούτο θα προσέκρουε στον σκοπό της περί διασφαλίσεως μη νοθευμένου ανταγωνισμού στην κοινή αγορά και ιδίως περί προστασίας του υφιστάμενου ανταγωνισμού στην σχετική αγορά.</w:t>
      </w:r>
      <w:r w:rsidR="00F625FB" w:rsidRPr="00282692">
        <w:rPr>
          <w:rFonts w:ascii="Times New Roman" w:hAnsi="Times New Roman" w:cs="Times New Roman"/>
          <w:sz w:val="24"/>
          <w:szCs w:val="24"/>
        </w:rPr>
        <w:t>»</w:t>
      </w:r>
      <w:r w:rsidR="00F625FB" w:rsidRPr="00282692">
        <w:rPr>
          <w:rStyle w:val="FootnoteReference"/>
          <w:rFonts w:ascii="Times New Roman" w:hAnsi="Times New Roman" w:cs="Times New Roman"/>
          <w:sz w:val="24"/>
          <w:szCs w:val="24"/>
        </w:rPr>
        <w:footnoteReference w:id="136"/>
      </w:r>
    </w:p>
    <w:p w:rsidR="005C47A7" w:rsidRPr="00282692" w:rsidRDefault="005C47A7" w:rsidP="00282692">
      <w:pPr>
        <w:spacing w:after="0" w:line="240" w:lineRule="auto"/>
        <w:jc w:val="both"/>
        <w:rPr>
          <w:rFonts w:ascii="Times New Roman" w:hAnsi="Times New Roman" w:cs="Times New Roman"/>
          <w:sz w:val="24"/>
          <w:szCs w:val="24"/>
        </w:rPr>
      </w:pPr>
    </w:p>
    <w:p w:rsidR="005C47A7" w:rsidRPr="00282692" w:rsidRDefault="00AC436B" w:rsidP="002826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δ</w:t>
      </w:r>
      <w:r w:rsidR="005C47A7" w:rsidRPr="00282692">
        <w:rPr>
          <w:rFonts w:ascii="Times New Roman" w:hAnsi="Times New Roman" w:cs="Times New Roman"/>
          <w:b/>
          <w:sz w:val="24"/>
          <w:szCs w:val="24"/>
        </w:rPr>
        <w:t xml:space="preserve">) Πρακτικές δέσμευσης και </w:t>
      </w:r>
      <w:r w:rsidR="003F3716" w:rsidRPr="00282692">
        <w:rPr>
          <w:rFonts w:ascii="Times New Roman" w:hAnsi="Times New Roman" w:cs="Times New Roman"/>
          <w:b/>
          <w:sz w:val="24"/>
          <w:szCs w:val="24"/>
        </w:rPr>
        <w:t>δεσμοποίησης</w:t>
      </w:r>
    </w:p>
    <w:p w:rsidR="003F3716" w:rsidRPr="00282692" w:rsidRDefault="003F3716" w:rsidP="00282692">
      <w:pPr>
        <w:spacing w:after="0" w:line="240" w:lineRule="auto"/>
        <w:jc w:val="both"/>
        <w:rPr>
          <w:rFonts w:ascii="Times New Roman" w:hAnsi="Times New Roman" w:cs="Times New Roman"/>
          <w:b/>
          <w:sz w:val="24"/>
          <w:szCs w:val="24"/>
        </w:rPr>
      </w:pPr>
    </w:p>
    <w:p w:rsidR="003F3716" w:rsidRPr="00282692" w:rsidRDefault="003F3716"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b/>
          <w:sz w:val="24"/>
          <w:szCs w:val="24"/>
        </w:rPr>
        <w:tab/>
      </w:r>
      <w:r w:rsidRPr="00282692">
        <w:rPr>
          <w:rFonts w:ascii="Times New Roman" w:hAnsi="Times New Roman" w:cs="Times New Roman"/>
          <w:sz w:val="24"/>
          <w:szCs w:val="24"/>
        </w:rPr>
        <w:t xml:space="preserve">Η δέσμευση και δεσμοποίηση είναι αντιανταγωνιστικές πρακτικές με τις οποίες μια δεσπόζουσα επιχείρηση εξαναγκάζει τους πελάτες της να αγοράσουν διάφορους συνδυασμούς των προϊόντων τους. </w:t>
      </w:r>
    </w:p>
    <w:p w:rsidR="003F3716" w:rsidRPr="00282692" w:rsidRDefault="003F3716"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Στο πλαίσιο της πρακτικής της δεσμοποίησης, δύο ή περισσότερα προϊόντα προσφέρονται προς πώληση υποχρεωτικά μαζί, χωρίς να υπάρχει η δυνατότητα να πωληθεί το καθένα ξεχωριστά. Επίσης, είναι ενδεχόμενο τα προϊόντα να μπορούν να πωληθούν ξεχωριστά, αλλά για την αγορά τους ως συνόλου να προσφέρεται κάποια έκπτωση.</w:t>
      </w:r>
    </w:p>
    <w:p w:rsidR="003F3716" w:rsidRPr="00282692" w:rsidRDefault="003F3716"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Στο πλαίσιο </w:t>
      </w:r>
      <w:r w:rsidR="00821678" w:rsidRPr="00282692">
        <w:rPr>
          <w:rFonts w:ascii="Times New Roman" w:hAnsi="Times New Roman" w:cs="Times New Roman"/>
          <w:sz w:val="24"/>
          <w:szCs w:val="24"/>
        </w:rPr>
        <w:t>της πρακτικής της</w:t>
      </w:r>
      <w:r w:rsidRPr="00282692">
        <w:rPr>
          <w:rFonts w:ascii="Times New Roman" w:hAnsi="Times New Roman" w:cs="Times New Roman"/>
          <w:sz w:val="24"/>
          <w:szCs w:val="24"/>
        </w:rPr>
        <w:t xml:space="preserve"> δέσμευσης, η αγορά ενός προϊόντος εξαρτάται από την αγορά ενός άλλου προϊόντος.</w:t>
      </w:r>
    </w:p>
    <w:p w:rsidR="009479CC" w:rsidRPr="00282692" w:rsidRDefault="003F3716"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Σε σχέση με την πρακτική της δέσμευσης, η θεμελιώδης απόφαση στη νομολογία του ΔΕΕ είναι </w:t>
      </w:r>
      <w:r w:rsidR="009479CC" w:rsidRPr="00282692">
        <w:rPr>
          <w:rFonts w:ascii="Times New Roman" w:hAnsi="Times New Roman" w:cs="Times New Roman"/>
          <w:sz w:val="24"/>
          <w:szCs w:val="24"/>
        </w:rPr>
        <w:t xml:space="preserve">η απόφαση </w:t>
      </w:r>
      <w:proofErr w:type="spellStart"/>
      <w:r w:rsidR="009479CC" w:rsidRPr="00282692">
        <w:rPr>
          <w:rFonts w:ascii="Times New Roman" w:hAnsi="Times New Roman" w:cs="Times New Roman"/>
          <w:i/>
          <w:sz w:val="24"/>
          <w:szCs w:val="24"/>
          <w:lang w:val="en-US"/>
        </w:rPr>
        <w:t>Hilti</w:t>
      </w:r>
      <w:proofErr w:type="spellEnd"/>
      <w:r w:rsidR="009479CC" w:rsidRPr="00282692">
        <w:rPr>
          <w:rFonts w:ascii="Times New Roman" w:hAnsi="Times New Roman" w:cs="Times New Roman"/>
          <w:sz w:val="24"/>
          <w:szCs w:val="24"/>
        </w:rPr>
        <w:t xml:space="preserve">. Στην απόφαση αυτή, το Γενικό Δικαστήριο επικύρωσε την κρίση της Επιτροπής ότι η πρακτική της </w:t>
      </w:r>
      <w:proofErr w:type="spellStart"/>
      <w:r w:rsidR="009479CC" w:rsidRPr="00282692">
        <w:rPr>
          <w:rFonts w:ascii="Times New Roman" w:hAnsi="Times New Roman" w:cs="Times New Roman"/>
          <w:i/>
          <w:sz w:val="24"/>
          <w:szCs w:val="24"/>
          <w:lang w:val="en-US"/>
        </w:rPr>
        <w:t>Hilti</w:t>
      </w:r>
      <w:proofErr w:type="spellEnd"/>
      <w:r w:rsidR="009479CC" w:rsidRPr="00282692">
        <w:rPr>
          <w:rFonts w:ascii="Times New Roman" w:hAnsi="Times New Roman" w:cs="Times New Roman"/>
          <w:sz w:val="24"/>
          <w:szCs w:val="24"/>
        </w:rPr>
        <w:t xml:space="preserve">, η οποία υποχρέωνε τους αγοραστές πιστολιών καρφώματος να αγοράζουν και καρφίδες αποκλειστικά από την ίδια συνιστούσε αντιανταγωνιστική πρακτική δέσμευσης. </w:t>
      </w:r>
    </w:p>
    <w:p w:rsidR="00A177ED" w:rsidRPr="00282692" w:rsidRDefault="009479CC"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Στην απόφαση </w:t>
      </w:r>
      <w:proofErr w:type="spellStart"/>
      <w:r w:rsidRPr="00282692">
        <w:rPr>
          <w:rFonts w:ascii="Times New Roman" w:hAnsi="Times New Roman" w:cs="Times New Roman"/>
          <w:i/>
          <w:sz w:val="24"/>
          <w:szCs w:val="24"/>
          <w:lang w:val="en-US"/>
        </w:rPr>
        <w:t>Hilti</w:t>
      </w:r>
      <w:proofErr w:type="spellEnd"/>
      <w:r w:rsidR="00930920" w:rsidRPr="00282692">
        <w:rPr>
          <w:rStyle w:val="FootnoteReference"/>
          <w:rFonts w:ascii="Times New Roman" w:hAnsi="Times New Roman" w:cs="Times New Roman"/>
          <w:sz w:val="24"/>
          <w:szCs w:val="24"/>
        </w:rPr>
        <w:footnoteReference w:id="137"/>
      </w:r>
      <w:r w:rsidRPr="00282692">
        <w:rPr>
          <w:rFonts w:ascii="Times New Roman" w:hAnsi="Times New Roman" w:cs="Times New Roman"/>
          <w:sz w:val="24"/>
          <w:szCs w:val="24"/>
        </w:rPr>
        <w:t xml:space="preserve">, το </w:t>
      </w:r>
      <w:r w:rsidR="001C6CFB" w:rsidRPr="00282692">
        <w:rPr>
          <w:rFonts w:ascii="Times New Roman" w:hAnsi="Times New Roman" w:cs="Times New Roman"/>
          <w:sz w:val="24"/>
          <w:szCs w:val="24"/>
        </w:rPr>
        <w:t xml:space="preserve">Γενικό </w:t>
      </w:r>
      <w:r w:rsidRPr="00282692">
        <w:rPr>
          <w:rFonts w:ascii="Times New Roman" w:hAnsi="Times New Roman" w:cs="Times New Roman"/>
          <w:sz w:val="24"/>
          <w:szCs w:val="24"/>
        </w:rPr>
        <w:t xml:space="preserve">Δικαστήριο εστίασε ιδίως στον προσδιορισμό της σχετικής αγοράς, ενώ τα αντιανταγωνιστικά αποτελέσματα της πρακτικής της δέσμευσης δεν αναλύθηκαν σε ιδιαίτερο βάθος. Ειδικότερα, το Γενικό Δικαστήριο διέκρινε τρεις </w:t>
      </w:r>
      <w:r w:rsidR="00731B6A">
        <w:rPr>
          <w:rFonts w:ascii="Times New Roman" w:hAnsi="Times New Roman" w:cs="Times New Roman"/>
          <w:sz w:val="24"/>
          <w:szCs w:val="24"/>
        </w:rPr>
        <w:t>ειδικές</w:t>
      </w:r>
      <w:r w:rsidRPr="00282692">
        <w:rPr>
          <w:rFonts w:ascii="Times New Roman" w:hAnsi="Times New Roman" w:cs="Times New Roman"/>
          <w:sz w:val="24"/>
          <w:szCs w:val="24"/>
        </w:rPr>
        <w:t xml:space="preserve"> αγορές για τα προϊόντα της </w:t>
      </w:r>
      <w:proofErr w:type="spellStart"/>
      <w:r w:rsidRPr="00282692">
        <w:rPr>
          <w:rFonts w:ascii="Times New Roman" w:hAnsi="Times New Roman" w:cs="Times New Roman"/>
          <w:sz w:val="24"/>
          <w:szCs w:val="24"/>
          <w:lang w:val="en-US"/>
        </w:rPr>
        <w:t>Hilti</w:t>
      </w:r>
      <w:proofErr w:type="spellEnd"/>
      <w:r w:rsidRPr="00282692">
        <w:rPr>
          <w:rFonts w:ascii="Times New Roman" w:hAnsi="Times New Roman" w:cs="Times New Roman"/>
          <w:sz w:val="24"/>
          <w:szCs w:val="24"/>
        </w:rPr>
        <w:t xml:space="preserve"> (</w:t>
      </w:r>
      <w:r w:rsidR="00274C07" w:rsidRPr="00282692">
        <w:rPr>
          <w:rFonts w:ascii="Times New Roman" w:hAnsi="Times New Roman" w:cs="Times New Roman"/>
          <w:sz w:val="24"/>
          <w:szCs w:val="24"/>
        </w:rPr>
        <w:t>πιστόλια καρφώματος, καρφίδες και δεσμίδες φυσιγγίων)</w:t>
      </w:r>
      <w:r w:rsidR="00930920" w:rsidRPr="00282692">
        <w:rPr>
          <w:rStyle w:val="FootnoteReference"/>
          <w:rFonts w:ascii="Times New Roman" w:hAnsi="Times New Roman" w:cs="Times New Roman"/>
          <w:sz w:val="24"/>
          <w:szCs w:val="24"/>
        </w:rPr>
        <w:footnoteReference w:id="138"/>
      </w:r>
      <w:r w:rsidR="0023669E" w:rsidRPr="00282692">
        <w:rPr>
          <w:rFonts w:ascii="Times New Roman" w:hAnsi="Times New Roman" w:cs="Times New Roman"/>
          <w:sz w:val="24"/>
          <w:szCs w:val="24"/>
        </w:rPr>
        <w:t xml:space="preserve"> και απέρριψε τον ισχυρισμό της </w:t>
      </w:r>
      <w:proofErr w:type="spellStart"/>
      <w:r w:rsidR="0023669E" w:rsidRPr="00282692">
        <w:rPr>
          <w:rFonts w:ascii="Times New Roman" w:hAnsi="Times New Roman" w:cs="Times New Roman"/>
          <w:sz w:val="24"/>
          <w:szCs w:val="24"/>
          <w:lang w:val="en-US"/>
        </w:rPr>
        <w:t>Hilti</w:t>
      </w:r>
      <w:proofErr w:type="spellEnd"/>
      <w:r w:rsidR="0023669E" w:rsidRPr="00282692">
        <w:rPr>
          <w:rFonts w:ascii="Times New Roman" w:hAnsi="Times New Roman" w:cs="Times New Roman"/>
          <w:sz w:val="24"/>
          <w:szCs w:val="24"/>
        </w:rPr>
        <w:t xml:space="preserve"> ότι τα τρία αυτά προϊόντα συνιστούσαν ένα αδιάσπαστο σύνολο και για αυτό το λόγο έπρεπε να προσφέρονται όλα μαζί</w:t>
      </w:r>
      <w:r w:rsidR="00D211F0" w:rsidRPr="00282692">
        <w:rPr>
          <w:rStyle w:val="FootnoteReference"/>
          <w:rFonts w:ascii="Times New Roman" w:hAnsi="Times New Roman" w:cs="Times New Roman"/>
          <w:sz w:val="24"/>
          <w:szCs w:val="24"/>
        </w:rPr>
        <w:footnoteReference w:id="139"/>
      </w:r>
      <w:r w:rsidR="0023669E" w:rsidRPr="00282692">
        <w:rPr>
          <w:rFonts w:ascii="Times New Roman" w:hAnsi="Times New Roman" w:cs="Times New Roman"/>
          <w:sz w:val="24"/>
          <w:szCs w:val="24"/>
        </w:rPr>
        <w:t>.</w:t>
      </w:r>
      <w:r w:rsidR="00D211F0" w:rsidRPr="00282692">
        <w:rPr>
          <w:rFonts w:ascii="Times New Roman" w:hAnsi="Times New Roman" w:cs="Times New Roman"/>
          <w:sz w:val="24"/>
          <w:szCs w:val="24"/>
        </w:rPr>
        <w:t xml:space="preserve"> Ωστόσο, όσον αφορά το ζήτημα της κατάχρησης, από την απόφαση απλώς προκύπτει ότι μια πρακτική </w:t>
      </w:r>
      <w:r w:rsidR="00C01531" w:rsidRPr="00282692">
        <w:rPr>
          <w:rFonts w:ascii="Times New Roman" w:hAnsi="Times New Roman" w:cs="Times New Roman"/>
          <w:sz w:val="24"/>
          <w:szCs w:val="24"/>
        </w:rPr>
        <w:t>βάσει της οποίας η αγορά ενός προϊόντος εξαρτάται από την αγορά ενός άλλου είναι καταχρηστική συμπεριφορά και απαγορεύεται από το άρθρο 102 ΣΛΕΕ, όταν ασκείται από δεσπόζουσα επιχείρηση</w:t>
      </w:r>
      <w:r w:rsidR="00C633CD" w:rsidRPr="00282692">
        <w:rPr>
          <w:rStyle w:val="FootnoteReference"/>
          <w:rFonts w:ascii="Times New Roman" w:hAnsi="Times New Roman" w:cs="Times New Roman"/>
          <w:sz w:val="24"/>
          <w:szCs w:val="24"/>
        </w:rPr>
        <w:footnoteReference w:id="140"/>
      </w:r>
      <w:r w:rsidR="00C01531" w:rsidRPr="00282692">
        <w:rPr>
          <w:rFonts w:ascii="Times New Roman" w:hAnsi="Times New Roman" w:cs="Times New Roman"/>
          <w:sz w:val="24"/>
          <w:szCs w:val="24"/>
        </w:rPr>
        <w:t>.</w:t>
      </w:r>
      <w:r w:rsidR="001C6CFB" w:rsidRPr="00282692">
        <w:rPr>
          <w:rFonts w:ascii="Times New Roman" w:hAnsi="Times New Roman" w:cs="Times New Roman"/>
          <w:sz w:val="24"/>
          <w:szCs w:val="24"/>
        </w:rPr>
        <w:t xml:space="preserve"> Δηλαδή, κατά τον έλεγχο της καταχρηστικότητας της συμπεριφοράς της δεσπόζουσας επιχείρησης, η έμφαση δόθηκε στο γεγονός ότι η εν λόγω συμπεριφορά περιόριζε την ελευθερία επιλογής των καταναλωτών, ενώ τυχόν θετικές συνέπειες της εν λόγω συμπεριφοράς για τον ανταγωνισμό δεν διερευνήθηκαν από το Γενικό Δικαστήριο. Επίσης, είναι αξιοσημείωτο ότι </w:t>
      </w:r>
      <w:r w:rsidR="00407232" w:rsidRPr="00282692">
        <w:rPr>
          <w:rFonts w:ascii="Times New Roman" w:hAnsi="Times New Roman" w:cs="Times New Roman"/>
          <w:sz w:val="24"/>
          <w:szCs w:val="24"/>
        </w:rPr>
        <w:t xml:space="preserve">το Γενικό Δικαστήριο δεν προχώρησε σε ανάλυση των αποτελεσμάτων της συμπεριφοράς της </w:t>
      </w:r>
      <w:proofErr w:type="spellStart"/>
      <w:r w:rsidR="00407232" w:rsidRPr="00282692">
        <w:rPr>
          <w:rFonts w:ascii="Times New Roman" w:hAnsi="Times New Roman" w:cs="Times New Roman"/>
          <w:sz w:val="24"/>
          <w:szCs w:val="24"/>
          <w:lang w:val="en-US"/>
        </w:rPr>
        <w:t>Hilti</w:t>
      </w:r>
      <w:proofErr w:type="spellEnd"/>
      <w:r w:rsidR="00407232" w:rsidRPr="00282692">
        <w:rPr>
          <w:rFonts w:ascii="Times New Roman" w:hAnsi="Times New Roman" w:cs="Times New Roman"/>
          <w:sz w:val="24"/>
          <w:szCs w:val="24"/>
        </w:rPr>
        <w:t xml:space="preserve"> από τη σκοπιά της οικονομικής αποτελεσματικότητας</w:t>
      </w:r>
      <w:r w:rsidR="00C633CD" w:rsidRPr="00282692">
        <w:rPr>
          <w:rStyle w:val="FootnoteReference"/>
          <w:rFonts w:ascii="Times New Roman" w:hAnsi="Times New Roman" w:cs="Times New Roman"/>
          <w:sz w:val="24"/>
          <w:szCs w:val="24"/>
        </w:rPr>
        <w:footnoteReference w:id="141"/>
      </w:r>
      <w:r w:rsidR="00407232" w:rsidRPr="00282692">
        <w:rPr>
          <w:rFonts w:ascii="Times New Roman" w:hAnsi="Times New Roman" w:cs="Times New Roman"/>
          <w:sz w:val="24"/>
          <w:szCs w:val="24"/>
        </w:rPr>
        <w:t>.</w:t>
      </w:r>
      <w:r w:rsidR="00A177ED" w:rsidRPr="00282692">
        <w:rPr>
          <w:rFonts w:ascii="Times New Roman" w:hAnsi="Times New Roman" w:cs="Times New Roman"/>
          <w:sz w:val="24"/>
          <w:szCs w:val="24"/>
        </w:rPr>
        <w:t xml:space="preserve"> Βάσει των διαπιστώσεων αυτών, στην απόφαση </w:t>
      </w:r>
      <w:proofErr w:type="spellStart"/>
      <w:r w:rsidR="00A177ED" w:rsidRPr="00282692">
        <w:rPr>
          <w:rFonts w:ascii="Times New Roman" w:hAnsi="Times New Roman" w:cs="Times New Roman"/>
          <w:i/>
          <w:sz w:val="24"/>
          <w:szCs w:val="24"/>
          <w:lang w:val="en-US"/>
        </w:rPr>
        <w:t>Hilti</w:t>
      </w:r>
      <w:proofErr w:type="spellEnd"/>
      <w:r w:rsidR="00A177ED" w:rsidRPr="00282692">
        <w:rPr>
          <w:rFonts w:ascii="Times New Roman" w:hAnsi="Times New Roman" w:cs="Times New Roman"/>
          <w:sz w:val="24"/>
          <w:szCs w:val="24"/>
        </w:rPr>
        <w:t xml:space="preserve"> το Γενικό Δικαστήριο δεν έκανε χρήση της οικονομικής ανάλυσης προκειμένου να τεκμηριώσει τη θέση του περί καταχρηστικότητας της συμπεριφοράς της δεσπόζουσας θέσης. </w:t>
      </w:r>
    </w:p>
    <w:p w:rsidR="004A5D88" w:rsidRPr="00282692" w:rsidRDefault="00A177ED"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Στην απόφαση </w:t>
      </w:r>
      <w:r w:rsidRPr="00282692">
        <w:rPr>
          <w:rFonts w:ascii="Times New Roman" w:hAnsi="Times New Roman" w:cs="Times New Roman"/>
          <w:i/>
          <w:sz w:val="24"/>
          <w:szCs w:val="24"/>
          <w:lang w:val="en-US"/>
        </w:rPr>
        <w:t>TetraPakII</w:t>
      </w:r>
      <w:r w:rsidR="00C633CD" w:rsidRPr="00282692">
        <w:rPr>
          <w:rStyle w:val="FootnoteReference"/>
          <w:rFonts w:ascii="Times New Roman" w:hAnsi="Times New Roman" w:cs="Times New Roman"/>
          <w:sz w:val="24"/>
          <w:szCs w:val="24"/>
          <w:lang w:val="en-US"/>
        </w:rPr>
        <w:footnoteReference w:id="142"/>
      </w:r>
      <w:r w:rsidRPr="00282692">
        <w:rPr>
          <w:rFonts w:ascii="Times New Roman" w:hAnsi="Times New Roman" w:cs="Times New Roman"/>
          <w:sz w:val="24"/>
          <w:szCs w:val="24"/>
        </w:rPr>
        <w:t xml:space="preserve">, </w:t>
      </w:r>
      <w:r w:rsidR="00C21582" w:rsidRPr="00282692">
        <w:rPr>
          <w:rFonts w:ascii="Times New Roman" w:hAnsi="Times New Roman" w:cs="Times New Roman"/>
          <w:sz w:val="24"/>
          <w:szCs w:val="24"/>
        </w:rPr>
        <w:t xml:space="preserve">το Γενικό Δικαστήριοχρησιμοποιεί μια οικονομικής φύσης αιτιολόγηση προκειμένου να τεκμηριώσει το συμπέρασμά του περί καταχρηστικότητας της συμπεριφοράς της </w:t>
      </w:r>
      <w:r w:rsidR="00EA47A5" w:rsidRPr="00282692">
        <w:rPr>
          <w:rFonts w:ascii="Times New Roman" w:hAnsi="Times New Roman" w:cs="Times New Roman"/>
          <w:sz w:val="24"/>
          <w:szCs w:val="24"/>
        </w:rPr>
        <w:t>δεσπόζουσας επιχείρησης.</w:t>
      </w:r>
      <w:r w:rsidR="00182C13" w:rsidRPr="00282692">
        <w:rPr>
          <w:rFonts w:ascii="Times New Roman" w:hAnsi="Times New Roman" w:cs="Times New Roman"/>
          <w:sz w:val="24"/>
          <w:szCs w:val="24"/>
        </w:rPr>
        <w:t>Αντικείμενο της ομώνυμης υπόθεσης ήταν</w:t>
      </w:r>
      <w:r w:rsidR="00EB329A" w:rsidRPr="00282692">
        <w:rPr>
          <w:rFonts w:ascii="Times New Roman" w:hAnsi="Times New Roman" w:cs="Times New Roman"/>
          <w:sz w:val="24"/>
          <w:szCs w:val="24"/>
        </w:rPr>
        <w:t xml:space="preserve"> η συμπεριφορά της </w:t>
      </w:r>
      <w:r w:rsidR="00EB329A" w:rsidRPr="00282692">
        <w:rPr>
          <w:rFonts w:ascii="Times New Roman" w:hAnsi="Times New Roman" w:cs="Times New Roman"/>
          <w:sz w:val="24"/>
          <w:szCs w:val="24"/>
          <w:lang w:val="en-US"/>
        </w:rPr>
        <w:t>TetraPak</w:t>
      </w:r>
      <w:r w:rsidR="00EB329A" w:rsidRPr="00282692">
        <w:rPr>
          <w:rFonts w:ascii="Times New Roman" w:hAnsi="Times New Roman" w:cs="Times New Roman"/>
          <w:sz w:val="24"/>
          <w:szCs w:val="24"/>
        </w:rPr>
        <w:t>, η οποία υποχρέωνε τους πελάτες της να αγοράζουν τις συσκευές συσκευασίας της σε συνδυασμό με ένα άλλο προϊόν (χαρτόνια)</w:t>
      </w:r>
      <w:r w:rsidR="00081859" w:rsidRPr="00282692">
        <w:rPr>
          <w:rFonts w:ascii="Times New Roman" w:hAnsi="Times New Roman" w:cs="Times New Roman"/>
          <w:sz w:val="24"/>
          <w:szCs w:val="24"/>
        </w:rPr>
        <w:t>. Ως</w:t>
      </w:r>
      <w:r w:rsidR="00EB329A" w:rsidRPr="00282692">
        <w:rPr>
          <w:rFonts w:ascii="Times New Roman" w:hAnsi="Times New Roman" w:cs="Times New Roman"/>
          <w:sz w:val="24"/>
          <w:szCs w:val="24"/>
        </w:rPr>
        <w:t xml:space="preserve"> αιτιολογία</w:t>
      </w:r>
      <w:r w:rsidR="00081859" w:rsidRPr="00282692">
        <w:rPr>
          <w:rFonts w:ascii="Times New Roman" w:hAnsi="Times New Roman" w:cs="Times New Roman"/>
          <w:sz w:val="24"/>
          <w:szCs w:val="24"/>
        </w:rPr>
        <w:t xml:space="preserve"> για τη συμπεριφορά αυτή προβλήθηκε</w:t>
      </w:r>
      <w:r w:rsidR="00EB329A" w:rsidRPr="00282692">
        <w:rPr>
          <w:rFonts w:ascii="Times New Roman" w:hAnsi="Times New Roman" w:cs="Times New Roman"/>
          <w:sz w:val="24"/>
          <w:szCs w:val="24"/>
        </w:rPr>
        <w:t xml:space="preserve"> ότι </w:t>
      </w:r>
      <w:r w:rsidR="00566089" w:rsidRPr="00282692">
        <w:rPr>
          <w:rFonts w:ascii="Times New Roman" w:hAnsi="Times New Roman" w:cs="Times New Roman"/>
          <w:sz w:val="24"/>
          <w:szCs w:val="24"/>
        </w:rPr>
        <w:t xml:space="preserve">ο φυσικός δεσμός μεταξύ των δύο αυτών προϊόντων και </w:t>
      </w:r>
      <w:r w:rsidR="00CB27BB" w:rsidRPr="00282692">
        <w:rPr>
          <w:rFonts w:ascii="Times New Roman" w:hAnsi="Times New Roman" w:cs="Times New Roman"/>
          <w:sz w:val="24"/>
          <w:szCs w:val="24"/>
        </w:rPr>
        <w:t xml:space="preserve">η εμπορική </w:t>
      </w:r>
      <w:r w:rsidR="00CB27BB" w:rsidRPr="00282692">
        <w:rPr>
          <w:rFonts w:ascii="Times New Roman" w:hAnsi="Times New Roman" w:cs="Times New Roman"/>
          <w:sz w:val="24"/>
          <w:szCs w:val="24"/>
        </w:rPr>
        <w:lastRenderedPageBreak/>
        <w:t>τους χρήση επέβαλλαν την αλληλένδετη πώλησή τους.</w:t>
      </w:r>
      <w:r w:rsidR="00853340" w:rsidRPr="00282692">
        <w:rPr>
          <w:rFonts w:ascii="Times New Roman" w:hAnsi="Times New Roman" w:cs="Times New Roman"/>
          <w:sz w:val="24"/>
          <w:szCs w:val="24"/>
        </w:rPr>
        <w:t xml:space="preserve"> Το Γενικό Δικαστήριο </w:t>
      </w:r>
      <w:r w:rsidR="00081859" w:rsidRPr="00282692">
        <w:rPr>
          <w:rFonts w:ascii="Times New Roman" w:hAnsi="Times New Roman" w:cs="Times New Roman"/>
          <w:sz w:val="24"/>
          <w:szCs w:val="24"/>
        </w:rPr>
        <w:t>απέρριψε, ωστόσο, την αιτιολογία αυτή, κρίνοντας ότι</w:t>
      </w:r>
      <w:r w:rsidR="0037135C" w:rsidRPr="00282692">
        <w:rPr>
          <w:rFonts w:ascii="Times New Roman" w:hAnsi="Times New Roman" w:cs="Times New Roman"/>
          <w:sz w:val="24"/>
          <w:szCs w:val="24"/>
        </w:rPr>
        <w:t xml:space="preserve">,ακόμα και αν η συμπεριφορά της </w:t>
      </w:r>
      <w:r w:rsidR="0037135C" w:rsidRPr="00282692">
        <w:rPr>
          <w:rFonts w:ascii="Times New Roman" w:hAnsi="Times New Roman" w:cs="Times New Roman"/>
          <w:sz w:val="24"/>
          <w:szCs w:val="24"/>
          <w:lang w:val="en-US"/>
        </w:rPr>
        <w:t>TetraPak</w:t>
      </w:r>
      <w:r w:rsidR="00731B6A">
        <w:rPr>
          <w:rFonts w:ascii="Times New Roman" w:hAnsi="Times New Roman" w:cs="Times New Roman"/>
          <w:sz w:val="24"/>
          <w:szCs w:val="24"/>
        </w:rPr>
        <w:t xml:space="preserve"> συνιστούσε</w:t>
      </w:r>
      <w:r w:rsidR="0037135C" w:rsidRPr="00282692">
        <w:rPr>
          <w:rFonts w:ascii="Times New Roman" w:hAnsi="Times New Roman" w:cs="Times New Roman"/>
          <w:sz w:val="24"/>
          <w:szCs w:val="24"/>
        </w:rPr>
        <w:t xml:space="preserve"> μια συνα</w:t>
      </w:r>
      <w:r w:rsidR="00731B6A">
        <w:rPr>
          <w:rFonts w:ascii="Times New Roman" w:hAnsi="Times New Roman" w:cs="Times New Roman"/>
          <w:sz w:val="24"/>
          <w:szCs w:val="24"/>
        </w:rPr>
        <w:t>λλακτική συνήθεια η οποία μπορούσε</w:t>
      </w:r>
      <w:r w:rsidR="0037135C" w:rsidRPr="00282692">
        <w:rPr>
          <w:rFonts w:ascii="Times New Roman" w:hAnsi="Times New Roman" w:cs="Times New Roman"/>
          <w:sz w:val="24"/>
          <w:szCs w:val="24"/>
        </w:rPr>
        <w:t xml:space="preserve"> να γίνει δεκτή υπό κανονικές συνθήκες σε ανταγωνιστική αγορά, εντούτοις η εν λόγω συμπεριφορά δεν </w:t>
      </w:r>
      <w:r w:rsidR="00731B6A">
        <w:rPr>
          <w:rFonts w:ascii="Times New Roman" w:hAnsi="Times New Roman" w:cs="Times New Roman"/>
          <w:sz w:val="24"/>
          <w:szCs w:val="24"/>
        </w:rPr>
        <w:t>μπορούσε</w:t>
      </w:r>
      <w:r w:rsidR="00081859" w:rsidRPr="00282692">
        <w:rPr>
          <w:rFonts w:ascii="Times New Roman" w:hAnsi="Times New Roman" w:cs="Times New Roman"/>
          <w:sz w:val="24"/>
          <w:szCs w:val="24"/>
        </w:rPr>
        <w:t xml:space="preserve"> να επιτραπεί στην περίπτωση αγοράς όπου ο ανταγωνισμός είναι περιορισμένος.</w:t>
      </w:r>
      <w:r w:rsidR="00081859" w:rsidRPr="00282692">
        <w:rPr>
          <w:rStyle w:val="FootnoteReference"/>
          <w:rFonts w:ascii="Times New Roman" w:hAnsi="Times New Roman" w:cs="Times New Roman"/>
          <w:sz w:val="24"/>
          <w:szCs w:val="24"/>
        </w:rPr>
        <w:footnoteReference w:id="143"/>
      </w:r>
      <w:r w:rsidR="0037135C" w:rsidRPr="00282692">
        <w:rPr>
          <w:rFonts w:ascii="Times New Roman" w:hAnsi="Times New Roman" w:cs="Times New Roman"/>
          <w:sz w:val="24"/>
          <w:szCs w:val="24"/>
        </w:rPr>
        <w:t xml:space="preserve"> Κατά την εκτίμηση του Γενικού Δικαστηρίου, η συμπεριφορά της </w:t>
      </w:r>
      <w:r w:rsidR="0037135C" w:rsidRPr="00282692">
        <w:rPr>
          <w:rFonts w:ascii="Times New Roman" w:hAnsi="Times New Roman" w:cs="Times New Roman"/>
          <w:sz w:val="24"/>
          <w:szCs w:val="24"/>
          <w:lang w:val="en-US"/>
        </w:rPr>
        <w:t>TetraPak</w:t>
      </w:r>
      <w:r w:rsidR="0037135C" w:rsidRPr="00282692">
        <w:rPr>
          <w:rFonts w:ascii="Times New Roman" w:hAnsi="Times New Roman" w:cs="Times New Roman"/>
          <w:sz w:val="24"/>
          <w:szCs w:val="24"/>
        </w:rPr>
        <w:t xml:space="preserve"> θα μπορούσε με οικονομικούς όρους να αξιολογηθεί ως μέρος μιας συνολικής στρατηγικής που αποσκοπούσε στο να καταστήσει τον πελάτη πλήρως εξαρτημένο από την </w:t>
      </w:r>
      <w:r w:rsidR="0037135C" w:rsidRPr="00282692">
        <w:rPr>
          <w:rFonts w:ascii="Times New Roman" w:hAnsi="Times New Roman" w:cs="Times New Roman"/>
          <w:sz w:val="24"/>
          <w:szCs w:val="24"/>
          <w:lang w:val="en-US"/>
        </w:rPr>
        <w:t>TetraPak</w:t>
      </w:r>
      <w:r w:rsidR="0037135C" w:rsidRPr="00282692">
        <w:rPr>
          <w:rFonts w:ascii="Times New Roman" w:hAnsi="Times New Roman" w:cs="Times New Roman"/>
          <w:sz w:val="24"/>
          <w:szCs w:val="24"/>
        </w:rPr>
        <w:t xml:space="preserve"> καθ’ όλη τη διάρκεια ζωής της μηχανής που πωλούταν ή εκμισθωνόταν σε αυτόν, αποκλείοντας έτσι ιδίως κάθε δυνατότητα ανταγωνισμού στον τομέα τόσο των χάρτινων κουτιών όσο και των συναφών προϊόντων</w:t>
      </w:r>
      <w:r w:rsidR="0037135C" w:rsidRPr="00282692">
        <w:rPr>
          <w:rStyle w:val="FootnoteReference"/>
          <w:rFonts w:ascii="Times New Roman" w:hAnsi="Times New Roman" w:cs="Times New Roman"/>
          <w:sz w:val="24"/>
          <w:szCs w:val="24"/>
        </w:rPr>
        <w:footnoteReference w:id="144"/>
      </w:r>
      <w:r w:rsidR="0037135C" w:rsidRPr="00282692">
        <w:rPr>
          <w:rFonts w:ascii="Times New Roman" w:hAnsi="Times New Roman" w:cs="Times New Roman"/>
          <w:sz w:val="24"/>
          <w:szCs w:val="24"/>
        </w:rPr>
        <w:t>.</w:t>
      </w:r>
      <w:r w:rsidR="004A5D88" w:rsidRPr="00282692">
        <w:rPr>
          <w:rFonts w:ascii="Times New Roman" w:hAnsi="Times New Roman" w:cs="Times New Roman"/>
          <w:sz w:val="24"/>
          <w:szCs w:val="24"/>
        </w:rPr>
        <w:t xml:space="preserve"> Δηλαδή, κατά την εκτίμηση του Γενικού Δικαστηρίου, όπως αυτή αποτυπώνεται στην απόφαση </w:t>
      </w:r>
      <w:r w:rsidR="004A5D88" w:rsidRPr="00282692">
        <w:rPr>
          <w:rFonts w:ascii="Times New Roman" w:hAnsi="Times New Roman" w:cs="Times New Roman"/>
          <w:sz w:val="24"/>
          <w:szCs w:val="24"/>
          <w:lang w:val="en-US"/>
        </w:rPr>
        <w:t>TetraPakII</w:t>
      </w:r>
      <w:r w:rsidR="000676D5" w:rsidRPr="00282692">
        <w:rPr>
          <w:rFonts w:ascii="Times New Roman" w:hAnsi="Times New Roman" w:cs="Times New Roman"/>
          <w:sz w:val="24"/>
          <w:szCs w:val="24"/>
        </w:rPr>
        <w:t xml:space="preserve"> και η οποία επικυρώθηκε και από το Δικαστήριο,</w:t>
      </w:r>
      <w:r w:rsidR="004A5D88" w:rsidRPr="00282692">
        <w:rPr>
          <w:rFonts w:ascii="Times New Roman" w:hAnsi="Times New Roman" w:cs="Times New Roman"/>
          <w:sz w:val="24"/>
          <w:szCs w:val="24"/>
        </w:rPr>
        <w:t xml:space="preserve"> οι ρήτρες αλληλένδετων πωλήσεων είναι αθέμιτες, επειδή ακριβώς ενισχύουν την οικονομική εξάρτηση των πελατών της δεσπόζουσας επιχείρησης από την τελευταία</w:t>
      </w:r>
      <w:r w:rsidR="004A5D88" w:rsidRPr="00282692">
        <w:rPr>
          <w:rStyle w:val="FootnoteReference"/>
          <w:rFonts w:ascii="Times New Roman" w:hAnsi="Times New Roman" w:cs="Times New Roman"/>
          <w:sz w:val="24"/>
          <w:szCs w:val="24"/>
        </w:rPr>
        <w:footnoteReference w:id="145"/>
      </w:r>
      <w:r w:rsidR="004A5D88" w:rsidRPr="00282692">
        <w:rPr>
          <w:rFonts w:ascii="Times New Roman" w:hAnsi="Times New Roman" w:cs="Times New Roman"/>
          <w:sz w:val="24"/>
          <w:szCs w:val="24"/>
        </w:rPr>
        <w:t>.</w:t>
      </w:r>
    </w:p>
    <w:p w:rsidR="000676D5" w:rsidRPr="00282692" w:rsidRDefault="004A5D88"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Συνολικά, στις αποφάσεις </w:t>
      </w:r>
      <w:proofErr w:type="spellStart"/>
      <w:r w:rsidRPr="00CB7C85">
        <w:rPr>
          <w:rFonts w:ascii="Times New Roman" w:hAnsi="Times New Roman" w:cs="Times New Roman"/>
          <w:i/>
          <w:sz w:val="24"/>
          <w:szCs w:val="24"/>
          <w:lang w:val="en-US"/>
        </w:rPr>
        <w:t>Hilti</w:t>
      </w:r>
      <w:proofErr w:type="spellEnd"/>
      <w:r w:rsidRPr="00282692">
        <w:rPr>
          <w:rFonts w:ascii="Times New Roman" w:hAnsi="Times New Roman" w:cs="Times New Roman"/>
          <w:sz w:val="24"/>
          <w:szCs w:val="24"/>
        </w:rPr>
        <w:t xml:space="preserve"> και </w:t>
      </w:r>
      <w:proofErr w:type="spellStart"/>
      <w:r w:rsidRPr="00CB7C85">
        <w:rPr>
          <w:rFonts w:ascii="Times New Roman" w:hAnsi="Times New Roman" w:cs="Times New Roman"/>
          <w:i/>
          <w:sz w:val="24"/>
          <w:szCs w:val="24"/>
          <w:lang w:val="en-US"/>
        </w:rPr>
        <w:t>TetraPakII</w:t>
      </w:r>
      <w:proofErr w:type="spellEnd"/>
      <w:r w:rsidRPr="00282692">
        <w:rPr>
          <w:rFonts w:ascii="Times New Roman" w:hAnsi="Times New Roman" w:cs="Times New Roman"/>
          <w:sz w:val="24"/>
          <w:szCs w:val="24"/>
        </w:rPr>
        <w:t>, τα στοιχεία που καθιστούν την</w:t>
      </w:r>
      <w:r w:rsidR="00B23E7E" w:rsidRPr="00282692">
        <w:rPr>
          <w:rFonts w:ascii="Times New Roman" w:hAnsi="Times New Roman" w:cs="Times New Roman"/>
          <w:sz w:val="24"/>
          <w:szCs w:val="24"/>
        </w:rPr>
        <w:t xml:space="preserve"> πρακτική των αλληλένδετων πωλήσεων καταχρηστική υπό το πρίσμα του άρθρου 102 ΣΛΕΕ, από οικονομική άποψη, είναι, πρώτον, η δημιουργία εμποδίων στην είσοδο ανταγωνιστών που προσφέρουν ξεχωριστά τα προϊόντα τους, δεύτερον, ο περιορισμός της ελευθερίας επιλογής του καταναλωτή και, τρίτον, </w:t>
      </w:r>
      <w:r w:rsidR="00C633CD" w:rsidRPr="00282692">
        <w:rPr>
          <w:rFonts w:ascii="Times New Roman" w:hAnsi="Times New Roman" w:cs="Times New Roman"/>
          <w:sz w:val="24"/>
          <w:szCs w:val="24"/>
        </w:rPr>
        <w:t xml:space="preserve">η διαπίστωση ότι </w:t>
      </w:r>
      <w:r w:rsidR="00B23E7E" w:rsidRPr="00282692">
        <w:rPr>
          <w:rFonts w:ascii="Times New Roman" w:hAnsi="Times New Roman" w:cs="Times New Roman"/>
          <w:sz w:val="24"/>
          <w:szCs w:val="24"/>
        </w:rPr>
        <w:t>η πρακτική των αλληλένδετων πωλήσεων συνεπάγεται</w:t>
      </w:r>
      <w:r w:rsidR="00F55456" w:rsidRPr="00282692">
        <w:rPr>
          <w:rFonts w:ascii="Times New Roman" w:hAnsi="Times New Roman" w:cs="Times New Roman"/>
          <w:sz w:val="24"/>
          <w:szCs w:val="24"/>
        </w:rPr>
        <w:t xml:space="preserve"> περιορισμό του ανταγωνισμού σε επόμενο επίπεδο αγοράς.</w:t>
      </w:r>
    </w:p>
    <w:p w:rsidR="00F15708" w:rsidRPr="00282692" w:rsidRDefault="000676D5"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Μια αρκετά πιο εμπεριστατωμένη οικονομική ανάλυση της πρακτικής των αλληλένδετων πωλήσεων εντοπίζεται στην απόφαση </w:t>
      </w:r>
      <w:r w:rsidRPr="00282692">
        <w:rPr>
          <w:rFonts w:ascii="Times New Roman" w:hAnsi="Times New Roman" w:cs="Times New Roman"/>
          <w:i/>
          <w:sz w:val="24"/>
          <w:szCs w:val="24"/>
          <w:lang w:val="en-US"/>
        </w:rPr>
        <w:t>MicrosoftI</w:t>
      </w:r>
      <w:r w:rsidR="00C633CD" w:rsidRPr="00282692">
        <w:rPr>
          <w:rStyle w:val="FootnoteReference"/>
          <w:rFonts w:ascii="Times New Roman" w:hAnsi="Times New Roman" w:cs="Times New Roman"/>
          <w:i/>
          <w:sz w:val="24"/>
          <w:szCs w:val="24"/>
          <w:lang w:val="en-US"/>
        </w:rPr>
        <w:footnoteReference w:id="146"/>
      </w:r>
      <w:r w:rsidR="00C633CD" w:rsidRPr="00282692">
        <w:rPr>
          <w:rFonts w:ascii="Times New Roman" w:hAnsi="Times New Roman" w:cs="Times New Roman"/>
          <w:i/>
          <w:sz w:val="24"/>
          <w:szCs w:val="24"/>
        </w:rPr>
        <w:t>.</w:t>
      </w:r>
      <w:r w:rsidRPr="00282692">
        <w:rPr>
          <w:rFonts w:ascii="Times New Roman" w:hAnsi="Times New Roman" w:cs="Times New Roman"/>
          <w:sz w:val="24"/>
          <w:szCs w:val="24"/>
        </w:rPr>
        <w:t xml:space="preserve"> Στην απόφαση αυτή κρίθηκε από το Γενικό Δικαστήριο η πρακτική της </w:t>
      </w:r>
      <w:r w:rsidRPr="00282692">
        <w:rPr>
          <w:rFonts w:ascii="Times New Roman" w:hAnsi="Times New Roman" w:cs="Times New Roman"/>
          <w:sz w:val="24"/>
          <w:szCs w:val="24"/>
          <w:lang w:val="en-US"/>
        </w:rPr>
        <w:t>Microsoft</w:t>
      </w:r>
      <w:r w:rsidRPr="00282692">
        <w:rPr>
          <w:rFonts w:ascii="Times New Roman" w:hAnsi="Times New Roman" w:cs="Times New Roman"/>
          <w:sz w:val="24"/>
          <w:szCs w:val="24"/>
        </w:rPr>
        <w:t xml:space="preserve">, η οποία πωλούσε το λειτουργικό της σύστημα αποκλειστικά μαζί με τη δική της κατασκευής εφαρμογή αναπαραγωγή μέσων, </w:t>
      </w:r>
      <w:r w:rsidR="00C633CD" w:rsidRPr="00282692">
        <w:rPr>
          <w:rFonts w:ascii="Times New Roman" w:hAnsi="Times New Roman" w:cs="Times New Roman"/>
          <w:sz w:val="24"/>
          <w:szCs w:val="24"/>
        </w:rPr>
        <w:t>άνευ</w:t>
      </w:r>
      <w:r w:rsidRPr="00282692">
        <w:rPr>
          <w:rFonts w:ascii="Times New Roman" w:hAnsi="Times New Roman" w:cs="Times New Roman"/>
          <w:sz w:val="24"/>
          <w:szCs w:val="24"/>
        </w:rPr>
        <w:t xml:space="preserve"> δυνατότητα</w:t>
      </w:r>
      <w:r w:rsidR="00C633CD" w:rsidRPr="00282692">
        <w:rPr>
          <w:rFonts w:ascii="Times New Roman" w:hAnsi="Times New Roman" w:cs="Times New Roman"/>
          <w:sz w:val="24"/>
          <w:szCs w:val="24"/>
        </w:rPr>
        <w:t>ς</w:t>
      </w:r>
      <w:r w:rsidRPr="00282692">
        <w:rPr>
          <w:rFonts w:ascii="Times New Roman" w:hAnsi="Times New Roman" w:cs="Times New Roman"/>
          <w:sz w:val="24"/>
          <w:szCs w:val="24"/>
        </w:rPr>
        <w:t xml:space="preserve"> απόκτησης του λειτουργικού της συστήματος χωρίς την προαναφερθείσα εφαρμογή.</w:t>
      </w:r>
    </w:p>
    <w:p w:rsidR="00F15708" w:rsidRPr="00282692" w:rsidRDefault="00F15708"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Ειδικότερα, στην υπόθεση </w:t>
      </w:r>
      <w:r w:rsidRPr="00282692">
        <w:rPr>
          <w:rFonts w:ascii="Times New Roman" w:hAnsi="Times New Roman" w:cs="Times New Roman"/>
          <w:i/>
          <w:sz w:val="24"/>
          <w:szCs w:val="24"/>
          <w:lang w:val="en-US"/>
        </w:rPr>
        <w:t>Microsoft</w:t>
      </w:r>
      <w:r w:rsidRPr="00282692">
        <w:rPr>
          <w:rFonts w:ascii="Times New Roman" w:hAnsi="Times New Roman" w:cs="Times New Roman"/>
          <w:i/>
          <w:sz w:val="24"/>
          <w:szCs w:val="24"/>
        </w:rPr>
        <w:t xml:space="preserve"> Ι</w:t>
      </w:r>
      <w:r w:rsidRPr="00282692">
        <w:rPr>
          <w:rFonts w:ascii="Times New Roman" w:hAnsi="Times New Roman" w:cs="Times New Roman"/>
          <w:sz w:val="24"/>
          <w:szCs w:val="24"/>
        </w:rPr>
        <w:t xml:space="preserve">, η Επιτροπή δέχτηκε ότι η διαπίστωση της ύπαρξης καταχρηστικής συνδυασμένης πώλησης προϋποθέτει τη συνδρομή τεσσάρων προϋποθέσεων – παραδοχών οικονομικής φύσης: </w:t>
      </w:r>
      <w:r w:rsidRPr="00282692">
        <w:rPr>
          <w:rFonts w:ascii="Times New Roman" w:hAnsi="Times New Roman" w:cs="Times New Roman"/>
          <w:i/>
          <w:sz w:val="24"/>
          <w:szCs w:val="24"/>
        </w:rPr>
        <w:t>πρώτον</w:t>
      </w:r>
      <w:r w:rsidRPr="00282692">
        <w:rPr>
          <w:rFonts w:ascii="Times New Roman" w:hAnsi="Times New Roman" w:cs="Times New Roman"/>
          <w:sz w:val="24"/>
          <w:szCs w:val="24"/>
        </w:rPr>
        <w:t>, το συνδέον</w:t>
      </w:r>
      <w:r w:rsidR="00731B6A">
        <w:rPr>
          <w:rFonts w:ascii="Times New Roman" w:hAnsi="Times New Roman" w:cs="Times New Roman"/>
          <w:sz w:val="24"/>
          <w:szCs w:val="24"/>
        </w:rPr>
        <w:t xml:space="preserve"> προϊόν</w:t>
      </w:r>
      <w:r w:rsidRPr="00282692">
        <w:rPr>
          <w:rFonts w:ascii="Times New Roman" w:hAnsi="Times New Roman" w:cs="Times New Roman"/>
          <w:sz w:val="24"/>
          <w:szCs w:val="24"/>
        </w:rPr>
        <w:t xml:space="preserve"> και το συνδεόμενο προϊόν πρέπει να είναι δύο χωριστά προϊόντα· </w:t>
      </w:r>
      <w:r w:rsidRPr="00282692">
        <w:rPr>
          <w:rFonts w:ascii="Times New Roman" w:hAnsi="Times New Roman" w:cs="Times New Roman"/>
          <w:i/>
          <w:sz w:val="24"/>
          <w:szCs w:val="24"/>
        </w:rPr>
        <w:t>δεύτερον</w:t>
      </w:r>
      <w:r w:rsidRPr="00282692">
        <w:rPr>
          <w:rFonts w:ascii="Times New Roman" w:hAnsi="Times New Roman" w:cs="Times New Roman"/>
          <w:sz w:val="24"/>
          <w:szCs w:val="24"/>
        </w:rPr>
        <w:t xml:space="preserve">, η οικεία επιχείρηση πρέπει να κατέχει δεσπόζουσα θέση στην αγορά του συνδέοντος προϊόντος· </w:t>
      </w:r>
      <w:r w:rsidRPr="00282692">
        <w:rPr>
          <w:rFonts w:ascii="Times New Roman" w:hAnsi="Times New Roman" w:cs="Times New Roman"/>
          <w:i/>
          <w:sz w:val="24"/>
          <w:szCs w:val="24"/>
        </w:rPr>
        <w:t>τρίτον</w:t>
      </w:r>
      <w:r w:rsidRPr="00282692">
        <w:rPr>
          <w:rFonts w:ascii="Times New Roman" w:hAnsi="Times New Roman" w:cs="Times New Roman"/>
          <w:sz w:val="24"/>
          <w:szCs w:val="24"/>
        </w:rPr>
        <w:t xml:space="preserve">, η εν λόγω επιχείρηση δεν πρέπει να παρέχει στους καταναλωτές τη δυνατότητα να επιλέξουν το συνδέον προϊόν χωρίς το συνδεόμενο και, </w:t>
      </w:r>
      <w:r w:rsidRPr="00282692">
        <w:rPr>
          <w:rFonts w:ascii="Times New Roman" w:hAnsi="Times New Roman" w:cs="Times New Roman"/>
          <w:i/>
          <w:sz w:val="24"/>
          <w:szCs w:val="24"/>
        </w:rPr>
        <w:t>τέταρτον</w:t>
      </w:r>
      <w:r w:rsidRPr="00282692">
        <w:rPr>
          <w:rFonts w:ascii="Times New Roman" w:hAnsi="Times New Roman" w:cs="Times New Roman"/>
          <w:sz w:val="24"/>
          <w:szCs w:val="24"/>
        </w:rPr>
        <w:t>, η επίμαχη πρακτική πρέπει να περιορίζει τον ανταγωνισμό</w:t>
      </w:r>
      <w:r w:rsidR="00C633CD" w:rsidRPr="00282692">
        <w:rPr>
          <w:rStyle w:val="FootnoteReference"/>
          <w:rFonts w:ascii="Times New Roman" w:hAnsi="Times New Roman" w:cs="Times New Roman"/>
          <w:sz w:val="24"/>
          <w:szCs w:val="24"/>
        </w:rPr>
        <w:footnoteReference w:id="147"/>
      </w:r>
      <w:r w:rsidRPr="00282692">
        <w:rPr>
          <w:rFonts w:ascii="Times New Roman" w:hAnsi="Times New Roman" w:cs="Times New Roman"/>
          <w:sz w:val="24"/>
          <w:szCs w:val="24"/>
        </w:rPr>
        <w:t>.</w:t>
      </w:r>
      <w:r w:rsidR="007B303C" w:rsidRPr="00282692">
        <w:rPr>
          <w:rFonts w:ascii="Times New Roman" w:hAnsi="Times New Roman" w:cs="Times New Roman"/>
          <w:sz w:val="24"/>
          <w:szCs w:val="24"/>
        </w:rPr>
        <w:t xml:space="preserve"> Το τεστ των τεσσάρων αυτών προϋποθέσεων έγινε δεκτό και από το Γενικό Δικαστήριο</w:t>
      </w:r>
      <w:r w:rsidR="00C633CD" w:rsidRPr="00282692">
        <w:rPr>
          <w:rStyle w:val="FootnoteReference"/>
          <w:rFonts w:ascii="Times New Roman" w:hAnsi="Times New Roman" w:cs="Times New Roman"/>
          <w:sz w:val="24"/>
          <w:szCs w:val="24"/>
        </w:rPr>
        <w:footnoteReference w:id="148"/>
      </w:r>
      <w:r w:rsidR="007B303C" w:rsidRPr="00282692">
        <w:rPr>
          <w:rFonts w:ascii="Times New Roman" w:hAnsi="Times New Roman" w:cs="Times New Roman"/>
          <w:sz w:val="24"/>
          <w:szCs w:val="24"/>
        </w:rPr>
        <w:t>.</w:t>
      </w:r>
    </w:p>
    <w:p w:rsidR="00C33B27" w:rsidRPr="00282692" w:rsidRDefault="00F15708"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Σε σχέση με τις δύο πρώτες προϋποθέσεις, παρατηρείται ότι συνιστούν επιβεβαίωσε της προγενέστερης νομολογίας. Σύμφωνα με τις προϋποθέσεις αυτές, η καταχρηστικότητα μιας αλληλένδετης</w:t>
      </w:r>
      <w:r w:rsidR="00C33B27" w:rsidRPr="00282692">
        <w:rPr>
          <w:rFonts w:ascii="Times New Roman" w:hAnsi="Times New Roman" w:cs="Times New Roman"/>
          <w:sz w:val="24"/>
          <w:szCs w:val="24"/>
        </w:rPr>
        <w:t xml:space="preserve"> πώλησης προϋποθέτει ότι τα</w:t>
      </w:r>
      <w:r w:rsidRPr="00282692">
        <w:rPr>
          <w:rFonts w:ascii="Times New Roman" w:hAnsi="Times New Roman" w:cs="Times New Roman"/>
          <w:sz w:val="24"/>
          <w:szCs w:val="24"/>
        </w:rPr>
        <w:t xml:space="preserve"> προϊόντα</w:t>
      </w:r>
      <w:r w:rsidR="00C33B27" w:rsidRPr="00282692">
        <w:rPr>
          <w:rFonts w:ascii="Times New Roman" w:hAnsi="Times New Roman" w:cs="Times New Roman"/>
          <w:sz w:val="24"/>
          <w:szCs w:val="24"/>
        </w:rPr>
        <w:t xml:space="preserve"> που πωλούνται αλληλένδετα εντάσσονται σε δύο διακριτές σχετικές αγορές προϊόντων και ότι η κρινόμενη επιχείρηση κατέχει δεσπόζουσα θέση τουλάχιστον στην αγορά του συνδέοντος προϊόντος.</w:t>
      </w:r>
    </w:p>
    <w:p w:rsidR="0058543E" w:rsidRPr="00282692" w:rsidRDefault="007B303C"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lastRenderedPageBreak/>
        <w:t xml:space="preserve">Σύμφωνα με την τρίτη προϋπόθεση, η αλληλένδετη πώληση είναι καταχρηστική μόνο αν οι πελάτες της δεσπόζουσας επιχείρησης αναγκάζονται να αγοράζουν το </w:t>
      </w:r>
      <w:r w:rsidR="00B455F7" w:rsidRPr="00282692">
        <w:rPr>
          <w:rFonts w:ascii="Times New Roman" w:hAnsi="Times New Roman" w:cs="Times New Roman"/>
          <w:sz w:val="24"/>
          <w:szCs w:val="24"/>
        </w:rPr>
        <w:t xml:space="preserve">συνδέον προϊόν μαζί με το συνδεόμενο και δεν υπάρχει η δυνατότητα να αγοράσουν το συνδεόμενο προϊόν αυτοτελώς. Όπως λοιπόν διασαφηνίζεται με ευκρίνεια στην απόφαση </w:t>
      </w:r>
      <w:r w:rsidR="00B455F7" w:rsidRPr="00282692">
        <w:rPr>
          <w:rFonts w:ascii="Times New Roman" w:hAnsi="Times New Roman" w:cs="Times New Roman"/>
          <w:i/>
          <w:sz w:val="24"/>
          <w:szCs w:val="24"/>
          <w:lang w:val="en-US"/>
        </w:rPr>
        <w:t>MicrosoftI</w:t>
      </w:r>
      <w:r w:rsidR="00B455F7" w:rsidRPr="00282692">
        <w:rPr>
          <w:rFonts w:ascii="Times New Roman" w:hAnsi="Times New Roman" w:cs="Times New Roman"/>
          <w:sz w:val="24"/>
          <w:szCs w:val="24"/>
        </w:rPr>
        <w:t>, η καταχρηστικότητα της αλληλένδετης πώλησης βασίζεται, μεταξύ των άλλων, στο γεγονός ότι περιορίζει την ελευθερία επιλογής του καταναλωτή. Σ</w:t>
      </w:r>
      <w:r w:rsidR="0008337E" w:rsidRPr="00282692">
        <w:rPr>
          <w:rFonts w:ascii="Times New Roman" w:hAnsi="Times New Roman" w:cs="Times New Roman"/>
          <w:sz w:val="24"/>
          <w:szCs w:val="24"/>
        </w:rPr>
        <w:t xml:space="preserve">υναφώς επισημαίνεται ότι, στην απόφαση </w:t>
      </w:r>
      <w:r w:rsidR="0008337E" w:rsidRPr="00282692">
        <w:rPr>
          <w:rFonts w:ascii="Times New Roman" w:hAnsi="Times New Roman" w:cs="Times New Roman"/>
          <w:i/>
          <w:sz w:val="24"/>
          <w:szCs w:val="24"/>
          <w:lang w:val="en-US"/>
        </w:rPr>
        <w:t>MicrosoftI</w:t>
      </w:r>
      <w:r w:rsidR="0008337E" w:rsidRPr="00282692">
        <w:rPr>
          <w:rFonts w:ascii="Times New Roman" w:hAnsi="Times New Roman" w:cs="Times New Roman"/>
          <w:sz w:val="24"/>
          <w:szCs w:val="24"/>
        </w:rPr>
        <w:t>, το συνδεόμενο προϊόν (</w:t>
      </w:r>
      <w:r w:rsidR="0008337E" w:rsidRPr="00282692">
        <w:rPr>
          <w:rFonts w:ascii="Times New Roman" w:hAnsi="Times New Roman" w:cs="Times New Roman"/>
          <w:sz w:val="24"/>
          <w:szCs w:val="24"/>
          <w:lang w:val="en-US"/>
        </w:rPr>
        <w:t>WindowsMediaPlayer</w:t>
      </w:r>
      <w:r w:rsidR="0008337E" w:rsidRPr="00282692">
        <w:rPr>
          <w:rFonts w:ascii="Times New Roman" w:hAnsi="Times New Roman" w:cs="Times New Roman"/>
          <w:sz w:val="24"/>
          <w:szCs w:val="24"/>
        </w:rPr>
        <w:t>) ήταν ενσωματωμένο στο συνδέον προϊόν (</w:t>
      </w:r>
      <w:r w:rsidR="0008337E" w:rsidRPr="00282692">
        <w:rPr>
          <w:rFonts w:ascii="Times New Roman" w:hAnsi="Times New Roman" w:cs="Times New Roman"/>
          <w:sz w:val="24"/>
          <w:szCs w:val="24"/>
          <w:lang w:val="en-US"/>
        </w:rPr>
        <w:t>Windows</w:t>
      </w:r>
      <w:r w:rsidR="0008337E" w:rsidRPr="00282692">
        <w:rPr>
          <w:rFonts w:ascii="Times New Roman" w:hAnsi="Times New Roman" w:cs="Times New Roman"/>
          <w:sz w:val="24"/>
          <w:szCs w:val="24"/>
        </w:rPr>
        <w:t>). Η διαπίστωση αυτή ήταν αρκετή για το Γενικό Δικαστήριο προκειμένου να διαπιστωθεί ότι συνέτρεχε αλληλένδετη πώληση</w:t>
      </w:r>
      <w:r w:rsidR="00646879" w:rsidRPr="00282692">
        <w:rPr>
          <w:rStyle w:val="FootnoteReference"/>
          <w:rFonts w:ascii="Times New Roman" w:hAnsi="Times New Roman" w:cs="Times New Roman"/>
          <w:sz w:val="24"/>
          <w:szCs w:val="24"/>
        </w:rPr>
        <w:footnoteReference w:id="149"/>
      </w:r>
      <w:r w:rsidR="005B2F57" w:rsidRPr="00282692">
        <w:rPr>
          <w:rFonts w:ascii="Times New Roman" w:hAnsi="Times New Roman" w:cs="Times New Roman"/>
          <w:sz w:val="24"/>
          <w:szCs w:val="24"/>
        </w:rPr>
        <w:t xml:space="preserve">. Αντίθετα, το γεγονός ότι για την αγορά του συνδεόμενου προϊόντος δεν υπήρχε επιπλέον χρέωση του αγοραστή δεν επηρέασε την κρίση του Γενικού Δικαστηρίου, το οποίο </w:t>
      </w:r>
      <w:r w:rsidR="0058543E" w:rsidRPr="00282692">
        <w:rPr>
          <w:rFonts w:ascii="Times New Roman" w:hAnsi="Times New Roman" w:cs="Times New Roman"/>
          <w:sz w:val="24"/>
          <w:szCs w:val="24"/>
        </w:rPr>
        <w:t>εκτίμησε</w:t>
      </w:r>
      <w:r w:rsidR="005B2F57" w:rsidRPr="00282692">
        <w:rPr>
          <w:rFonts w:ascii="Times New Roman" w:hAnsi="Times New Roman" w:cs="Times New Roman"/>
          <w:sz w:val="24"/>
          <w:szCs w:val="24"/>
        </w:rPr>
        <w:t xml:space="preserve"> ότι στην τιμή του συνδέοντος προϊόντος περιλαμβανόταν και η τιμή του συνδεόμενου προϊόντος</w:t>
      </w:r>
      <w:r w:rsidR="0058543E" w:rsidRPr="00282692">
        <w:rPr>
          <w:rStyle w:val="FootnoteReference"/>
          <w:rFonts w:ascii="Times New Roman" w:hAnsi="Times New Roman" w:cs="Times New Roman"/>
          <w:sz w:val="24"/>
          <w:szCs w:val="24"/>
        </w:rPr>
        <w:footnoteReference w:id="150"/>
      </w:r>
      <w:r w:rsidR="005B2F57" w:rsidRPr="00282692">
        <w:rPr>
          <w:rFonts w:ascii="Times New Roman" w:hAnsi="Times New Roman" w:cs="Times New Roman"/>
          <w:sz w:val="24"/>
          <w:szCs w:val="24"/>
        </w:rPr>
        <w:t>.</w:t>
      </w:r>
    </w:p>
    <w:p w:rsidR="009E4E6C" w:rsidRPr="00282692" w:rsidRDefault="0058543E"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Τέλος, </w:t>
      </w:r>
      <w:r w:rsidR="004C0132" w:rsidRPr="00282692">
        <w:rPr>
          <w:rFonts w:ascii="Times New Roman" w:hAnsi="Times New Roman" w:cs="Times New Roman"/>
          <w:sz w:val="24"/>
          <w:szCs w:val="24"/>
        </w:rPr>
        <w:t>η</w:t>
      </w:r>
      <w:r w:rsidRPr="00282692">
        <w:rPr>
          <w:rFonts w:ascii="Times New Roman" w:hAnsi="Times New Roman" w:cs="Times New Roman"/>
          <w:sz w:val="24"/>
          <w:szCs w:val="24"/>
        </w:rPr>
        <w:t xml:space="preserve"> τέταρτη προϋπόθεση, ότι η πρακτική της αλληλένδετης πώλησης πρέπει να περιορίζει τον ανταγωνισμό </w:t>
      </w:r>
      <w:r w:rsidR="00FC249B" w:rsidRPr="00282692">
        <w:rPr>
          <w:rFonts w:ascii="Times New Roman" w:hAnsi="Times New Roman" w:cs="Times New Roman"/>
          <w:sz w:val="24"/>
          <w:szCs w:val="24"/>
        </w:rPr>
        <w:t>εισφέρει νέες</w:t>
      </w:r>
      <w:r w:rsidR="004C0132" w:rsidRPr="00282692">
        <w:rPr>
          <w:rFonts w:ascii="Times New Roman" w:hAnsi="Times New Roman" w:cs="Times New Roman"/>
          <w:sz w:val="24"/>
          <w:szCs w:val="24"/>
        </w:rPr>
        <w:t xml:space="preserve"> οικ</w:t>
      </w:r>
      <w:r w:rsidR="00FC249B" w:rsidRPr="00282692">
        <w:rPr>
          <w:rFonts w:ascii="Times New Roman" w:hAnsi="Times New Roman" w:cs="Times New Roman"/>
          <w:sz w:val="24"/>
          <w:szCs w:val="24"/>
        </w:rPr>
        <w:t>ονομικής φύσης παραμέτρους οι οποίες πρέπει να λαμβάνονται υπόψη κατά τη νομική</w:t>
      </w:r>
      <w:r w:rsidR="004C0132" w:rsidRPr="00282692">
        <w:rPr>
          <w:rFonts w:ascii="Times New Roman" w:hAnsi="Times New Roman" w:cs="Times New Roman"/>
          <w:sz w:val="24"/>
          <w:szCs w:val="24"/>
        </w:rPr>
        <w:t xml:space="preserve"> αξιολόγηση της καταχρηστικότητας μιας αλληλένδετης πώλησης.</w:t>
      </w:r>
      <w:r w:rsidR="00FC249B" w:rsidRPr="00282692">
        <w:rPr>
          <w:rFonts w:ascii="Times New Roman" w:hAnsi="Times New Roman" w:cs="Times New Roman"/>
          <w:sz w:val="24"/>
          <w:szCs w:val="24"/>
        </w:rPr>
        <w:t xml:space="preserve">Στις παραμέτρους αυτές περιλαμβάνεται η θεωρία της μόχλευσης, η </w:t>
      </w:r>
      <w:r w:rsidR="00080507" w:rsidRPr="00282692">
        <w:rPr>
          <w:rFonts w:ascii="Times New Roman" w:hAnsi="Times New Roman" w:cs="Times New Roman"/>
          <w:sz w:val="24"/>
          <w:szCs w:val="24"/>
        </w:rPr>
        <w:t>ασύμμετρη πληροφόρηση, το κόστος συναλλαγών και οι λεγόμενες «επιπτώσεις δικτύου».</w:t>
      </w:r>
    </w:p>
    <w:p w:rsidR="000A1861" w:rsidRPr="00282692" w:rsidRDefault="009E4E6C"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Όσον αφορά τη θεωρία της «μόχλευσης», το Γενικό Δικαστήριο έκρινε στην απόφαση </w:t>
      </w:r>
      <w:r w:rsidRPr="00282692">
        <w:rPr>
          <w:rFonts w:ascii="Times New Roman" w:hAnsi="Times New Roman" w:cs="Times New Roman"/>
          <w:i/>
          <w:sz w:val="24"/>
          <w:szCs w:val="24"/>
          <w:lang w:val="en-US"/>
        </w:rPr>
        <w:t>MicrosoftI</w:t>
      </w:r>
      <w:r w:rsidRPr="00282692">
        <w:rPr>
          <w:rFonts w:ascii="Times New Roman" w:hAnsi="Times New Roman" w:cs="Times New Roman"/>
          <w:sz w:val="24"/>
          <w:szCs w:val="24"/>
        </w:rPr>
        <w:t xml:space="preserve"> ότι η πρακτική δέσμευσης ήταν ικανή να μεταβάλλει αισθητά την ισορροπία του ανταγωνισμού υπέρ της </w:t>
      </w:r>
      <w:r w:rsidRPr="00282692">
        <w:rPr>
          <w:rFonts w:ascii="Times New Roman" w:hAnsi="Times New Roman" w:cs="Times New Roman"/>
          <w:sz w:val="24"/>
          <w:szCs w:val="24"/>
          <w:lang w:val="en-US"/>
        </w:rPr>
        <w:t>Microsoft</w:t>
      </w:r>
      <w:r w:rsidRPr="00282692">
        <w:rPr>
          <w:rFonts w:ascii="Times New Roman" w:hAnsi="Times New Roman" w:cs="Times New Roman"/>
          <w:sz w:val="24"/>
          <w:szCs w:val="24"/>
        </w:rPr>
        <w:t xml:space="preserve"> και σε βάρος των άλλων επιχειρήσεων</w:t>
      </w:r>
      <w:r w:rsidRPr="00282692">
        <w:rPr>
          <w:rStyle w:val="FootnoteReference"/>
          <w:rFonts w:ascii="Times New Roman" w:hAnsi="Times New Roman" w:cs="Times New Roman"/>
          <w:sz w:val="24"/>
          <w:szCs w:val="24"/>
        </w:rPr>
        <w:footnoteReference w:id="151"/>
      </w:r>
      <w:r w:rsidRPr="00282692">
        <w:rPr>
          <w:rFonts w:ascii="Times New Roman" w:hAnsi="Times New Roman" w:cs="Times New Roman"/>
          <w:sz w:val="24"/>
          <w:szCs w:val="24"/>
        </w:rPr>
        <w:t>.</w:t>
      </w:r>
      <w:r w:rsidR="000D3C94" w:rsidRPr="00282692">
        <w:rPr>
          <w:rFonts w:ascii="Times New Roman" w:hAnsi="Times New Roman" w:cs="Times New Roman"/>
          <w:sz w:val="24"/>
          <w:szCs w:val="24"/>
        </w:rPr>
        <w:t xml:space="preserve"> Όπως εξήγησε περαιτέρω το Γενικό Δικαστήριο, ενόψει του γεγονότος ότι το </w:t>
      </w:r>
      <w:r w:rsidR="000D3C94" w:rsidRPr="00282692">
        <w:rPr>
          <w:rFonts w:ascii="Times New Roman" w:hAnsi="Times New Roman" w:cs="Times New Roman"/>
          <w:sz w:val="24"/>
          <w:szCs w:val="24"/>
          <w:lang w:val="en-US"/>
        </w:rPr>
        <w:t>WindowsMediaPlayer</w:t>
      </w:r>
      <w:r w:rsidR="000D3C94" w:rsidRPr="00282692">
        <w:rPr>
          <w:rFonts w:ascii="Times New Roman" w:hAnsi="Times New Roman" w:cs="Times New Roman"/>
          <w:sz w:val="24"/>
          <w:szCs w:val="24"/>
        </w:rPr>
        <w:t xml:space="preserve"> είχε εξασφαλισμένο έναν άνευ προηγουμένου βαθμό παρουσίας στους προσωπικούς υπολογιστές πελάτη παγκοσμίως, η εν λόγω εφαρμογή είχε τη δυνατότητα να αποκτήσει αυτομάτως επίπεδο διεισδύσεως στην αγορά αντίστοιχο εκείνο του λειτουργικού συστήματος   Windows για προσωπικούς υπολογιστές πελάτη, </w:t>
      </w:r>
      <w:r w:rsidR="000D3C94" w:rsidRPr="003572CE">
        <w:rPr>
          <w:rFonts w:ascii="Times New Roman" w:hAnsi="Times New Roman" w:cs="Times New Roman"/>
          <w:b/>
          <w:sz w:val="24"/>
          <w:szCs w:val="24"/>
          <w:u w:val="single"/>
        </w:rPr>
        <w:t>χωρίς να χρειαστεί να ανταγωνιστεί αξιοκρατικώς τα προϊόντα των ανταγωνιστών</w:t>
      </w:r>
      <w:r w:rsidR="000D3C94" w:rsidRPr="00282692">
        <w:rPr>
          <w:rStyle w:val="FootnoteReference"/>
          <w:rFonts w:ascii="Times New Roman" w:hAnsi="Times New Roman" w:cs="Times New Roman"/>
          <w:sz w:val="24"/>
          <w:szCs w:val="24"/>
        </w:rPr>
        <w:footnoteReference w:id="152"/>
      </w:r>
      <w:r w:rsidR="000D3C94" w:rsidRPr="00282692">
        <w:rPr>
          <w:rFonts w:ascii="Times New Roman" w:hAnsi="Times New Roman" w:cs="Times New Roman"/>
          <w:sz w:val="24"/>
          <w:szCs w:val="24"/>
        </w:rPr>
        <w:t xml:space="preserve">. </w:t>
      </w:r>
      <w:r w:rsidR="00657643" w:rsidRPr="00282692">
        <w:rPr>
          <w:rFonts w:ascii="Times New Roman" w:hAnsi="Times New Roman" w:cs="Times New Roman"/>
          <w:sz w:val="24"/>
          <w:szCs w:val="24"/>
        </w:rPr>
        <w:t xml:space="preserve">Από τις προαναφερθείσες παραδοχές προκύπτει ότι το Γενικό Δικαστήριο «επέκτεινε», χωρίς καμία ιδιαίτερη συλλογιστική, τη δεσπόζουσα θέση που κατείχε η </w:t>
      </w:r>
      <w:r w:rsidR="00657643" w:rsidRPr="00282692">
        <w:rPr>
          <w:rFonts w:ascii="Times New Roman" w:hAnsi="Times New Roman" w:cs="Times New Roman"/>
          <w:sz w:val="24"/>
          <w:szCs w:val="24"/>
          <w:lang w:val="en-US"/>
        </w:rPr>
        <w:t>Microsoft</w:t>
      </w:r>
      <w:r w:rsidR="00657643" w:rsidRPr="00282692">
        <w:rPr>
          <w:rFonts w:ascii="Times New Roman" w:hAnsi="Times New Roman" w:cs="Times New Roman"/>
          <w:sz w:val="24"/>
          <w:szCs w:val="24"/>
        </w:rPr>
        <w:t xml:space="preserve"> στην αγορά των λειτουργικών συστημάτων στην αγορά των εφαρμογών αναπαραγωγής μέσων. Ο αντίκτυπος των αλληλένδετων πωλήσεων που πραγματοποιούσε η </w:t>
      </w:r>
      <w:r w:rsidR="00657643" w:rsidRPr="00282692">
        <w:rPr>
          <w:rFonts w:ascii="Times New Roman" w:hAnsi="Times New Roman" w:cs="Times New Roman"/>
          <w:sz w:val="24"/>
          <w:szCs w:val="24"/>
          <w:lang w:val="en-US"/>
        </w:rPr>
        <w:t>Microsoft</w:t>
      </w:r>
      <w:r w:rsidR="00657643" w:rsidRPr="00282692">
        <w:rPr>
          <w:rFonts w:ascii="Times New Roman" w:hAnsi="Times New Roman" w:cs="Times New Roman"/>
          <w:sz w:val="24"/>
          <w:szCs w:val="24"/>
        </w:rPr>
        <w:t xml:space="preserve"> στην αγορά των εφαρμογ</w:t>
      </w:r>
      <w:r w:rsidR="00731B6A">
        <w:rPr>
          <w:rFonts w:ascii="Times New Roman" w:hAnsi="Times New Roman" w:cs="Times New Roman"/>
          <w:sz w:val="24"/>
          <w:szCs w:val="24"/>
        </w:rPr>
        <w:t>ών αναπαραγωγής μέσων συνίστατο</w:t>
      </w:r>
      <w:r w:rsidR="00657643" w:rsidRPr="00282692">
        <w:rPr>
          <w:rFonts w:ascii="Times New Roman" w:hAnsi="Times New Roman" w:cs="Times New Roman"/>
          <w:sz w:val="24"/>
          <w:szCs w:val="24"/>
        </w:rPr>
        <w:t xml:space="preserve"> στο ότι οι ανταγωνιστές της στην αγορά αυτή δεν μπορούν να φτάσουν στο ίδιο επίπεδο διείσδυσης στην αγορά με την </w:t>
      </w:r>
      <w:r w:rsidR="00657643" w:rsidRPr="00282692">
        <w:rPr>
          <w:rFonts w:ascii="Times New Roman" w:hAnsi="Times New Roman" w:cs="Times New Roman"/>
          <w:sz w:val="24"/>
          <w:szCs w:val="24"/>
          <w:lang w:val="en-US"/>
        </w:rPr>
        <w:t>Microsoft</w:t>
      </w:r>
      <w:r w:rsidR="00657643" w:rsidRPr="00282692">
        <w:rPr>
          <w:rFonts w:ascii="Times New Roman" w:hAnsi="Times New Roman" w:cs="Times New Roman"/>
          <w:sz w:val="24"/>
          <w:szCs w:val="24"/>
        </w:rPr>
        <w:t xml:space="preserve"> αν </w:t>
      </w:r>
      <w:r w:rsidR="00731B6A">
        <w:rPr>
          <w:rFonts w:ascii="Times New Roman" w:hAnsi="Times New Roman" w:cs="Times New Roman"/>
          <w:sz w:val="24"/>
          <w:szCs w:val="24"/>
        </w:rPr>
        <w:t>τα προϊόντα τους δεν διανέμονταν</w:t>
      </w:r>
      <w:r w:rsidR="00657643" w:rsidRPr="00282692">
        <w:rPr>
          <w:rFonts w:ascii="Times New Roman" w:hAnsi="Times New Roman" w:cs="Times New Roman"/>
          <w:sz w:val="24"/>
          <w:szCs w:val="24"/>
        </w:rPr>
        <w:t xml:space="preserve"> με τον τρόπο που διανεμόταν το </w:t>
      </w:r>
      <w:r w:rsidR="00657643" w:rsidRPr="00282692">
        <w:rPr>
          <w:rFonts w:ascii="Times New Roman" w:hAnsi="Times New Roman" w:cs="Times New Roman"/>
          <w:sz w:val="24"/>
          <w:szCs w:val="24"/>
          <w:lang w:val="en-US"/>
        </w:rPr>
        <w:t>WindowsMediaPlayer</w:t>
      </w:r>
      <w:r w:rsidR="00657643" w:rsidRPr="00282692">
        <w:rPr>
          <w:rStyle w:val="FootnoteReference"/>
          <w:rFonts w:ascii="Times New Roman" w:hAnsi="Times New Roman" w:cs="Times New Roman"/>
          <w:sz w:val="24"/>
          <w:szCs w:val="24"/>
          <w:lang w:val="en-US"/>
        </w:rPr>
        <w:footnoteReference w:id="153"/>
      </w:r>
      <w:r w:rsidR="00657643" w:rsidRPr="00282692">
        <w:rPr>
          <w:rFonts w:ascii="Times New Roman" w:hAnsi="Times New Roman" w:cs="Times New Roman"/>
          <w:sz w:val="24"/>
          <w:szCs w:val="24"/>
        </w:rPr>
        <w:t>.</w:t>
      </w:r>
      <w:r w:rsidR="000A1861" w:rsidRPr="00282692">
        <w:rPr>
          <w:rFonts w:ascii="Times New Roman" w:hAnsi="Times New Roman" w:cs="Times New Roman"/>
          <w:sz w:val="24"/>
          <w:szCs w:val="24"/>
        </w:rPr>
        <w:t xml:space="preserve"> Βάσει των παραδοχών αυτών, μπορεί να λεχθεί ότι η πρακτική των αλληλένδετων πωλήσεων εμποδίζει, κατά την αντίληψη του Γενικού Δικαστηρίου, την ανάπτυξη του υγιούς ανταγωνισμού. Με άλλα λόγια, κατά την αντίληψη του Γενικού Δικαστηρίου, η πρακτική των αλληλένδετων πωλήσεων περιορίζει τον ανταγωνισμό </w:t>
      </w:r>
      <w:r w:rsidR="000A1861" w:rsidRPr="00731B6A">
        <w:rPr>
          <w:rFonts w:ascii="Times New Roman" w:hAnsi="Times New Roman" w:cs="Times New Roman"/>
          <w:b/>
          <w:sz w:val="24"/>
          <w:szCs w:val="24"/>
          <w:u w:val="single"/>
        </w:rPr>
        <w:t>όχι μόνο γιατί συνεπάγεται τη δημιουργία εμποδίων στην είσοδο πιθανών ανταγωνιστών στην αγορά του συνδεόμενου προϊόντος</w:t>
      </w:r>
      <w:r w:rsidR="000A1861" w:rsidRPr="00282692">
        <w:rPr>
          <w:rFonts w:ascii="Times New Roman" w:hAnsi="Times New Roman" w:cs="Times New Roman"/>
          <w:sz w:val="24"/>
          <w:szCs w:val="24"/>
        </w:rPr>
        <w:t xml:space="preserve"> αλ</w:t>
      </w:r>
      <w:r w:rsidR="00093845" w:rsidRPr="00282692">
        <w:rPr>
          <w:rFonts w:ascii="Times New Roman" w:hAnsi="Times New Roman" w:cs="Times New Roman"/>
          <w:sz w:val="24"/>
          <w:szCs w:val="24"/>
        </w:rPr>
        <w:t xml:space="preserve">λά και γιατί εμποδίζει </w:t>
      </w:r>
      <w:r w:rsidR="00AD693A" w:rsidRPr="00282692">
        <w:rPr>
          <w:rFonts w:ascii="Times New Roman" w:hAnsi="Times New Roman" w:cs="Times New Roman"/>
          <w:sz w:val="24"/>
          <w:szCs w:val="24"/>
        </w:rPr>
        <w:t xml:space="preserve">τους κατασκευαστές προϊόντων που ανήκουν στην ίδια σχετική </w:t>
      </w:r>
      <w:r w:rsidR="00AD693A" w:rsidRPr="00282692">
        <w:rPr>
          <w:rFonts w:ascii="Times New Roman" w:hAnsi="Times New Roman" w:cs="Times New Roman"/>
          <w:sz w:val="24"/>
          <w:szCs w:val="24"/>
        </w:rPr>
        <w:lastRenderedPageBreak/>
        <w:t xml:space="preserve">αγορά με το συνδεόμενο προϊόν να ανταγωνίζονται τη δεσπόζουσα επιχείρηση </w:t>
      </w:r>
      <w:r w:rsidR="00AD693A" w:rsidRPr="00731B6A">
        <w:rPr>
          <w:rFonts w:ascii="Times New Roman" w:hAnsi="Times New Roman" w:cs="Times New Roman"/>
          <w:b/>
          <w:sz w:val="24"/>
          <w:szCs w:val="24"/>
          <w:u w:val="single"/>
        </w:rPr>
        <w:t>βάσει των ιδιαίτερων χαρακτηριστικών των προϊόντων τους</w:t>
      </w:r>
      <w:r w:rsidR="00AD693A" w:rsidRPr="00282692">
        <w:rPr>
          <w:rStyle w:val="FootnoteReference"/>
          <w:rFonts w:ascii="Times New Roman" w:hAnsi="Times New Roman" w:cs="Times New Roman"/>
          <w:sz w:val="24"/>
          <w:szCs w:val="24"/>
        </w:rPr>
        <w:footnoteReference w:id="154"/>
      </w:r>
      <w:r w:rsidR="00AD693A" w:rsidRPr="00282692">
        <w:rPr>
          <w:rFonts w:ascii="Times New Roman" w:hAnsi="Times New Roman" w:cs="Times New Roman"/>
          <w:sz w:val="24"/>
          <w:szCs w:val="24"/>
        </w:rPr>
        <w:t>.</w:t>
      </w:r>
    </w:p>
    <w:p w:rsidR="00DF0D5D" w:rsidRPr="00282692" w:rsidRDefault="00AD693A"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Σε σχέση με τις παραμέτρους της ασύμμετρης πληροφόρησης και του κόστους συναλλαγών, το Γενικό Δικαστήριο παρατήρησε ότι η προεγκάταση του </w:t>
      </w:r>
      <w:r w:rsidRPr="00282692">
        <w:rPr>
          <w:rFonts w:ascii="Times New Roman" w:hAnsi="Times New Roman" w:cs="Times New Roman"/>
          <w:sz w:val="24"/>
          <w:szCs w:val="24"/>
          <w:lang w:val="en-US"/>
        </w:rPr>
        <w:t>WindowsMediaPlayer</w:t>
      </w:r>
      <w:r w:rsidRPr="00282692">
        <w:rPr>
          <w:rFonts w:ascii="Times New Roman" w:hAnsi="Times New Roman" w:cs="Times New Roman"/>
          <w:sz w:val="24"/>
          <w:szCs w:val="24"/>
        </w:rPr>
        <w:t xml:space="preserve"> στο λειτουργικό σύστημα των </w:t>
      </w:r>
      <w:r w:rsidRPr="00282692">
        <w:rPr>
          <w:rFonts w:ascii="Times New Roman" w:hAnsi="Times New Roman" w:cs="Times New Roman"/>
          <w:sz w:val="24"/>
          <w:szCs w:val="24"/>
          <w:lang w:val="en-US"/>
        </w:rPr>
        <w:t>Windows</w:t>
      </w:r>
      <w:r w:rsidRPr="003572CE">
        <w:rPr>
          <w:rFonts w:ascii="Times New Roman" w:hAnsi="Times New Roman" w:cs="Times New Roman"/>
          <w:b/>
          <w:sz w:val="24"/>
          <w:szCs w:val="24"/>
          <w:u w:val="single"/>
        </w:rPr>
        <w:t>στερούσε από τους αγοραστές του τελευταίου το κίνητρο να αναζητήσουν και ενδεχομένως να κατεβάσουν στον υπολογιστή τους μια εναλλακτική εφαρμογή αναπαραγωγής μέσων.</w:t>
      </w:r>
      <w:r w:rsidR="000E3AEB" w:rsidRPr="00282692">
        <w:rPr>
          <w:rFonts w:ascii="Times New Roman" w:hAnsi="Times New Roman" w:cs="Times New Roman"/>
          <w:sz w:val="24"/>
          <w:szCs w:val="24"/>
        </w:rPr>
        <w:t xml:space="preserve">Επιπλέον, η προεγκατάσταση του </w:t>
      </w:r>
      <w:r w:rsidR="000E3AEB" w:rsidRPr="00282692">
        <w:rPr>
          <w:rFonts w:ascii="Times New Roman" w:hAnsi="Times New Roman" w:cs="Times New Roman"/>
          <w:sz w:val="24"/>
          <w:szCs w:val="24"/>
          <w:lang w:val="en-US"/>
        </w:rPr>
        <w:t>WindowsMediaPlayer</w:t>
      </w:r>
      <w:r w:rsidR="000E3AEB" w:rsidRPr="00282692">
        <w:rPr>
          <w:rFonts w:ascii="Times New Roman" w:hAnsi="Times New Roman" w:cs="Times New Roman"/>
          <w:sz w:val="24"/>
          <w:szCs w:val="24"/>
        </w:rPr>
        <w:t xml:space="preserve"> στο λειτουργικό σύστημα των </w:t>
      </w:r>
      <w:r w:rsidR="000E3AEB" w:rsidRPr="00282692">
        <w:rPr>
          <w:rFonts w:ascii="Times New Roman" w:hAnsi="Times New Roman" w:cs="Times New Roman"/>
          <w:sz w:val="24"/>
          <w:szCs w:val="24"/>
          <w:lang w:val="en-US"/>
        </w:rPr>
        <w:t>Windows</w:t>
      </w:r>
      <w:r w:rsidR="000E3AEB" w:rsidRPr="00282692">
        <w:rPr>
          <w:rFonts w:ascii="Times New Roman" w:hAnsi="Times New Roman" w:cs="Times New Roman"/>
          <w:sz w:val="24"/>
          <w:szCs w:val="24"/>
        </w:rPr>
        <w:t xml:space="preserve"> ερμηνευόταν, κατά την εκτίμηση του Γενικού Δικαστηρίου, από τον αγοραστή του λειτουργικού συστήματος των </w:t>
      </w:r>
      <w:r w:rsidR="000E3AEB" w:rsidRPr="00282692">
        <w:rPr>
          <w:rFonts w:ascii="Times New Roman" w:hAnsi="Times New Roman" w:cs="Times New Roman"/>
          <w:sz w:val="24"/>
          <w:szCs w:val="24"/>
          <w:lang w:val="en-US"/>
        </w:rPr>
        <w:t>Windows</w:t>
      </w:r>
      <w:r w:rsidR="000E3AEB" w:rsidRPr="00282692">
        <w:rPr>
          <w:rFonts w:ascii="Times New Roman" w:hAnsi="Times New Roman" w:cs="Times New Roman"/>
          <w:sz w:val="24"/>
          <w:szCs w:val="24"/>
        </w:rPr>
        <w:t xml:space="preserve"> ως «εγγύηση» για την ομαλή λειτουργία της προαναφερθείσας εφαρμογής στο πλαίσιο του εν λόγω λειτουργικού συστήματος, </w:t>
      </w:r>
      <w:r w:rsidR="000E3AEB" w:rsidRPr="003572CE">
        <w:rPr>
          <w:rFonts w:ascii="Times New Roman" w:hAnsi="Times New Roman" w:cs="Times New Roman"/>
          <w:b/>
          <w:sz w:val="24"/>
          <w:szCs w:val="24"/>
          <w:u w:val="single"/>
        </w:rPr>
        <w:t xml:space="preserve">με συνέπεια οι καταναλωτές να μην έχουν κίνητρο να αναζητήσουν πληροφορίες </w:t>
      </w:r>
      <w:r w:rsidR="00E3310D" w:rsidRPr="003572CE">
        <w:rPr>
          <w:rFonts w:ascii="Times New Roman" w:hAnsi="Times New Roman" w:cs="Times New Roman"/>
          <w:b/>
          <w:sz w:val="24"/>
          <w:szCs w:val="24"/>
          <w:u w:val="single"/>
        </w:rPr>
        <w:t xml:space="preserve">για τη λειτουργικότητα της εν λόγω εφαρμογής από ανταγωνιστές της </w:t>
      </w:r>
      <w:r w:rsidR="00E3310D" w:rsidRPr="003572CE">
        <w:rPr>
          <w:rFonts w:ascii="Times New Roman" w:hAnsi="Times New Roman" w:cs="Times New Roman"/>
          <w:b/>
          <w:sz w:val="24"/>
          <w:szCs w:val="24"/>
          <w:u w:val="single"/>
          <w:lang w:val="en-US"/>
        </w:rPr>
        <w:t>Microsoft</w:t>
      </w:r>
      <w:r w:rsidR="00D04F91" w:rsidRPr="00282692">
        <w:rPr>
          <w:rStyle w:val="FootnoteReference"/>
          <w:rFonts w:ascii="Times New Roman" w:hAnsi="Times New Roman" w:cs="Times New Roman"/>
          <w:sz w:val="24"/>
          <w:szCs w:val="24"/>
        </w:rPr>
        <w:footnoteReference w:id="155"/>
      </w:r>
      <w:r w:rsidR="00E3310D" w:rsidRPr="00282692">
        <w:rPr>
          <w:rFonts w:ascii="Times New Roman" w:hAnsi="Times New Roman" w:cs="Times New Roman"/>
          <w:sz w:val="24"/>
          <w:szCs w:val="24"/>
        </w:rPr>
        <w:t xml:space="preserve">. Υπό το φως των διαπιστώσεων αυτών, η πρακτική των αλληλένδετων πωλήσεων </w:t>
      </w:r>
      <w:r w:rsidR="0047028B" w:rsidRPr="00282692">
        <w:rPr>
          <w:rFonts w:ascii="Times New Roman" w:hAnsi="Times New Roman" w:cs="Times New Roman"/>
          <w:sz w:val="24"/>
          <w:szCs w:val="24"/>
        </w:rPr>
        <w:t>μειώνει τα κίνητρα των καταναλωτών για αναζήτηση και αγορά</w:t>
      </w:r>
      <w:r w:rsidR="00E3310D" w:rsidRPr="00282692">
        <w:rPr>
          <w:rFonts w:ascii="Times New Roman" w:hAnsi="Times New Roman" w:cs="Times New Roman"/>
          <w:sz w:val="24"/>
          <w:szCs w:val="24"/>
        </w:rPr>
        <w:t xml:space="preserve"> ανταγωνιστικών προϊόντων.</w:t>
      </w:r>
    </w:p>
    <w:p w:rsidR="00F31FC1" w:rsidRPr="00282692" w:rsidRDefault="00DF0D5D"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Ως προς την παράμετρο </w:t>
      </w:r>
      <w:r w:rsidR="00FC18BD" w:rsidRPr="00282692">
        <w:rPr>
          <w:rFonts w:ascii="Times New Roman" w:hAnsi="Times New Roman" w:cs="Times New Roman"/>
          <w:sz w:val="24"/>
          <w:szCs w:val="24"/>
        </w:rPr>
        <w:t>των «επιπτώσεων δικτύου», το Γενικό Δικαστήριο διαπίστωσε ότι</w:t>
      </w:r>
      <w:r w:rsidR="00180FDE" w:rsidRPr="00282692">
        <w:rPr>
          <w:rFonts w:ascii="Times New Roman" w:hAnsi="Times New Roman" w:cs="Times New Roman"/>
          <w:sz w:val="24"/>
          <w:szCs w:val="24"/>
        </w:rPr>
        <w:t>, λαμβάνοντας υπόψη</w:t>
      </w:r>
      <w:r w:rsidR="00FC18BD" w:rsidRPr="003572CE">
        <w:rPr>
          <w:rFonts w:ascii="Times New Roman" w:hAnsi="Times New Roman" w:cs="Times New Roman"/>
          <w:b/>
          <w:sz w:val="24"/>
          <w:szCs w:val="24"/>
          <w:u w:val="single"/>
        </w:rPr>
        <w:t xml:space="preserve">τον υψηλό βαθμό παρουσίας του </w:t>
      </w:r>
      <w:r w:rsidR="00FC18BD" w:rsidRPr="003572CE">
        <w:rPr>
          <w:rFonts w:ascii="Times New Roman" w:hAnsi="Times New Roman" w:cs="Times New Roman"/>
          <w:b/>
          <w:sz w:val="24"/>
          <w:szCs w:val="24"/>
          <w:u w:val="single"/>
          <w:lang w:val="en-US"/>
        </w:rPr>
        <w:t>WindowsMediaPlayer</w:t>
      </w:r>
      <w:r w:rsidR="00FC18BD" w:rsidRPr="003572CE">
        <w:rPr>
          <w:rFonts w:ascii="Times New Roman" w:hAnsi="Times New Roman" w:cs="Times New Roman"/>
          <w:b/>
          <w:sz w:val="24"/>
          <w:szCs w:val="24"/>
          <w:u w:val="single"/>
        </w:rPr>
        <w:t xml:space="preserve"> στους προσωπικούς υπολογιστές πελάτη παγκοσμίως</w:t>
      </w:r>
      <w:r w:rsidR="00FC18BD" w:rsidRPr="00282692">
        <w:rPr>
          <w:rFonts w:ascii="Times New Roman" w:hAnsi="Times New Roman" w:cs="Times New Roman"/>
          <w:sz w:val="24"/>
          <w:szCs w:val="24"/>
        </w:rPr>
        <w:t xml:space="preserve">, οι φορείς παροχής περιεχομένου και οι κατασκευαστές λογισμικού είχαν την τάση να στηρίζονται σε μια μόνον τεχνολογία και να κατασκευάζουν προϊόντα συμβατά με το </w:t>
      </w:r>
      <w:r w:rsidR="00FC18BD" w:rsidRPr="00282692">
        <w:rPr>
          <w:rFonts w:ascii="Times New Roman" w:hAnsi="Times New Roman" w:cs="Times New Roman"/>
          <w:sz w:val="24"/>
          <w:szCs w:val="24"/>
          <w:lang w:val="en-US"/>
        </w:rPr>
        <w:t>WindowsMediaPlayer</w:t>
      </w:r>
      <w:r w:rsidR="00FC18BD" w:rsidRPr="00282692">
        <w:rPr>
          <w:rFonts w:ascii="Times New Roman" w:hAnsi="Times New Roman" w:cs="Times New Roman"/>
          <w:sz w:val="24"/>
          <w:szCs w:val="24"/>
        </w:rPr>
        <w:t>, ώστε να αποφεύγουν τα επιπλέον έξοδα και να έχουν τη δυνατότητα να προσεγγίσουν ευρύτερο κοινό</w:t>
      </w:r>
      <w:r w:rsidR="00D04F91" w:rsidRPr="00282692">
        <w:rPr>
          <w:rStyle w:val="FootnoteReference"/>
          <w:rFonts w:ascii="Times New Roman" w:hAnsi="Times New Roman" w:cs="Times New Roman"/>
          <w:sz w:val="24"/>
          <w:szCs w:val="24"/>
        </w:rPr>
        <w:footnoteReference w:id="156"/>
      </w:r>
      <w:r w:rsidR="00FC18BD" w:rsidRPr="00282692">
        <w:rPr>
          <w:rFonts w:ascii="Times New Roman" w:hAnsi="Times New Roman" w:cs="Times New Roman"/>
          <w:sz w:val="24"/>
          <w:szCs w:val="24"/>
        </w:rPr>
        <w:t>.</w:t>
      </w:r>
    </w:p>
    <w:p w:rsidR="00FE54AD" w:rsidRPr="00282692" w:rsidRDefault="0072622D"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Τέλος, αξίζει να σημειωθεί ότι</w:t>
      </w:r>
      <w:r w:rsidR="003051FC" w:rsidRPr="00282692">
        <w:rPr>
          <w:rFonts w:ascii="Times New Roman" w:hAnsi="Times New Roman" w:cs="Times New Roman"/>
          <w:sz w:val="24"/>
          <w:szCs w:val="24"/>
        </w:rPr>
        <w:t>,</w:t>
      </w:r>
      <w:r w:rsidRPr="00282692">
        <w:rPr>
          <w:rFonts w:ascii="Times New Roman" w:hAnsi="Times New Roman" w:cs="Times New Roman"/>
          <w:sz w:val="24"/>
          <w:szCs w:val="24"/>
        </w:rPr>
        <w:t xml:space="preserve"> στην απόφαση </w:t>
      </w:r>
      <w:r w:rsidRPr="00744E91">
        <w:rPr>
          <w:rFonts w:ascii="Times New Roman" w:hAnsi="Times New Roman" w:cs="Times New Roman"/>
          <w:i/>
          <w:sz w:val="24"/>
          <w:szCs w:val="24"/>
          <w:lang w:val="en-US"/>
        </w:rPr>
        <w:t>MicrosoftI</w:t>
      </w:r>
      <w:r w:rsidR="003051FC" w:rsidRPr="00282692">
        <w:rPr>
          <w:rFonts w:ascii="Times New Roman" w:hAnsi="Times New Roman" w:cs="Times New Roman"/>
          <w:sz w:val="24"/>
          <w:szCs w:val="24"/>
        </w:rPr>
        <w:t xml:space="preserve">,το Γενικό Δικαστήριο αποδέχθηκε ότι η υιοθέτηση της πρακτικής των αλληλένδετων πωλήσεων μπορεί να δικαιολογείται αντικειμενικά και να μην απαγορεύεται τελικά ως μορφή κατάχρησης δεσπόζουσας θέσης από το άρθρο 102 ΣΛΕΕ, εφόσον </w:t>
      </w:r>
      <w:r w:rsidR="00B37F67" w:rsidRPr="00282692">
        <w:rPr>
          <w:rFonts w:ascii="Times New Roman" w:hAnsi="Times New Roman" w:cs="Times New Roman"/>
          <w:sz w:val="24"/>
          <w:szCs w:val="24"/>
        </w:rPr>
        <w:t>η εν λόγω πρακτική συνεπάγεται αποτελεσματικότητες που αντισταθμίζουν τα αντιανταγωνιστικά αποτελέσματα της εν λόγω πρακτικής. Ωστόσο, στη συγκεκριμένη περίπτωση, το Γενικό Δικα</w:t>
      </w:r>
      <w:r w:rsidR="00FE54AD" w:rsidRPr="00282692">
        <w:rPr>
          <w:rFonts w:ascii="Times New Roman" w:hAnsi="Times New Roman" w:cs="Times New Roman"/>
          <w:sz w:val="24"/>
          <w:szCs w:val="24"/>
        </w:rPr>
        <w:t xml:space="preserve">στήριο δεν δέχθηκε ότι οι αλληλένδετες πωλήσεις της </w:t>
      </w:r>
      <w:r w:rsidR="00FE54AD" w:rsidRPr="00282692">
        <w:rPr>
          <w:rFonts w:ascii="Times New Roman" w:hAnsi="Times New Roman" w:cs="Times New Roman"/>
          <w:sz w:val="24"/>
          <w:szCs w:val="24"/>
          <w:lang w:val="en-US"/>
        </w:rPr>
        <w:t>Microsoft</w:t>
      </w:r>
      <w:r w:rsidR="00FE54AD" w:rsidRPr="00282692">
        <w:rPr>
          <w:rFonts w:ascii="Times New Roman" w:hAnsi="Times New Roman" w:cs="Times New Roman"/>
          <w:sz w:val="24"/>
          <w:szCs w:val="24"/>
        </w:rPr>
        <w:t xml:space="preserve"> συνεπάγονταν αύξηση της οικονομικής αποτελεσματικότητας μεγαλύτερης έκτασης σε σχέση με τα βλαπτικά αποτελέσματα που συνεπαγόταν</w:t>
      </w:r>
      <w:r w:rsidR="00622830" w:rsidRPr="00282692">
        <w:rPr>
          <w:rFonts w:ascii="Times New Roman" w:hAnsi="Times New Roman" w:cs="Times New Roman"/>
          <w:sz w:val="24"/>
          <w:szCs w:val="24"/>
        </w:rPr>
        <w:t xml:space="preserve"> για τη λειτουργία του υγιούς</w:t>
      </w:r>
      <w:r w:rsidR="00FE54AD" w:rsidRPr="00282692">
        <w:rPr>
          <w:rFonts w:ascii="Times New Roman" w:hAnsi="Times New Roman" w:cs="Times New Roman"/>
          <w:sz w:val="24"/>
          <w:szCs w:val="24"/>
        </w:rPr>
        <w:t xml:space="preserve"> ανταγωνισμού</w:t>
      </w:r>
      <w:r w:rsidR="00622830" w:rsidRPr="00282692">
        <w:rPr>
          <w:rStyle w:val="FootnoteReference"/>
          <w:rFonts w:ascii="Times New Roman" w:hAnsi="Times New Roman" w:cs="Times New Roman"/>
          <w:sz w:val="24"/>
          <w:szCs w:val="24"/>
        </w:rPr>
        <w:footnoteReference w:id="157"/>
      </w:r>
      <w:r w:rsidR="00FE54AD" w:rsidRPr="00282692">
        <w:rPr>
          <w:rFonts w:ascii="Times New Roman" w:hAnsi="Times New Roman" w:cs="Times New Roman"/>
          <w:sz w:val="24"/>
          <w:szCs w:val="24"/>
        </w:rPr>
        <w:t>.</w:t>
      </w:r>
    </w:p>
    <w:p w:rsidR="00FE54AD" w:rsidRPr="00282692" w:rsidRDefault="00FE54AD" w:rsidP="00282692">
      <w:pPr>
        <w:spacing w:after="0" w:line="240" w:lineRule="auto"/>
        <w:ind w:firstLine="720"/>
        <w:jc w:val="both"/>
        <w:rPr>
          <w:rFonts w:ascii="Times New Roman" w:hAnsi="Times New Roman" w:cs="Times New Roman"/>
          <w:sz w:val="24"/>
          <w:szCs w:val="24"/>
        </w:rPr>
      </w:pPr>
    </w:p>
    <w:p w:rsidR="00AD693A" w:rsidRPr="00282692" w:rsidRDefault="00AC436B" w:rsidP="002826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ε</w:t>
      </w:r>
      <w:r w:rsidR="00AA4BFD" w:rsidRPr="00282692">
        <w:rPr>
          <w:rFonts w:ascii="Times New Roman" w:hAnsi="Times New Roman" w:cs="Times New Roman"/>
          <w:b/>
          <w:sz w:val="24"/>
          <w:szCs w:val="24"/>
        </w:rPr>
        <w:t>) Πρακτικές εκπτώσεων υπέρ πιστών πελατών</w:t>
      </w:r>
    </w:p>
    <w:p w:rsidR="00AA4BFD" w:rsidRPr="00282692" w:rsidRDefault="00AA4BFD" w:rsidP="00282692">
      <w:pPr>
        <w:spacing w:after="0" w:line="240" w:lineRule="auto"/>
        <w:jc w:val="both"/>
        <w:rPr>
          <w:rFonts w:ascii="Times New Roman" w:hAnsi="Times New Roman" w:cs="Times New Roman"/>
          <w:b/>
          <w:sz w:val="24"/>
          <w:szCs w:val="24"/>
        </w:rPr>
      </w:pPr>
    </w:p>
    <w:p w:rsidR="00BF0FE3" w:rsidRPr="00282692" w:rsidRDefault="00AA4BFD"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b/>
          <w:sz w:val="24"/>
          <w:szCs w:val="24"/>
        </w:rPr>
        <w:tab/>
      </w:r>
      <w:r w:rsidRPr="00282692">
        <w:rPr>
          <w:rFonts w:ascii="Times New Roman" w:hAnsi="Times New Roman" w:cs="Times New Roman"/>
          <w:sz w:val="24"/>
          <w:szCs w:val="24"/>
        </w:rPr>
        <w:t>Οι εκπτώσεις υπέρ πιστών πελατών</w:t>
      </w:r>
      <w:r w:rsidR="00644A83" w:rsidRPr="00282692">
        <w:rPr>
          <w:rStyle w:val="FootnoteReference"/>
          <w:rFonts w:ascii="Times New Roman" w:hAnsi="Times New Roman" w:cs="Times New Roman"/>
          <w:sz w:val="24"/>
          <w:szCs w:val="24"/>
        </w:rPr>
        <w:footnoteReference w:id="158"/>
      </w:r>
      <w:r w:rsidRPr="00282692">
        <w:rPr>
          <w:rFonts w:ascii="Times New Roman" w:hAnsi="Times New Roman" w:cs="Times New Roman"/>
          <w:sz w:val="24"/>
          <w:szCs w:val="24"/>
        </w:rPr>
        <w:t xml:space="preserve">, οι οποίες </w:t>
      </w:r>
      <w:r w:rsidR="00644A83" w:rsidRPr="00282692">
        <w:rPr>
          <w:rFonts w:ascii="Times New Roman" w:hAnsi="Times New Roman" w:cs="Times New Roman"/>
          <w:sz w:val="24"/>
          <w:szCs w:val="24"/>
        </w:rPr>
        <w:t>ενδέχεται να εφαρμόζονται είτε βάσει συμβατικών όρων που δεσμεύουν τον αγοραστή είτε μονομερώς</w:t>
      </w:r>
      <w:r w:rsidR="00BF0FE3" w:rsidRPr="00282692">
        <w:rPr>
          <w:rFonts w:ascii="Times New Roman" w:hAnsi="Times New Roman" w:cs="Times New Roman"/>
          <w:sz w:val="24"/>
          <w:szCs w:val="24"/>
        </w:rPr>
        <w:t xml:space="preserve"> στο πλαίσιο συμβάσεων αποκλειστικής διανομής</w:t>
      </w:r>
      <w:r w:rsidR="00644A83" w:rsidRPr="00282692">
        <w:rPr>
          <w:rFonts w:ascii="Times New Roman" w:hAnsi="Times New Roman" w:cs="Times New Roman"/>
          <w:sz w:val="24"/>
          <w:szCs w:val="24"/>
        </w:rPr>
        <w:t xml:space="preserve">, κρίθηκαν ως ασυμβίβαστες με το δίκαιο του ελεύθερου ανταγωνισμού ήδη στα μέσα της δεκαετίας του ’70 στην απόφαση </w:t>
      </w:r>
      <w:proofErr w:type="spellStart"/>
      <w:r w:rsidR="00644A83" w:rsidRPr="00282692">
        <w:rPr>
          <w:rFonts w:ascii="Times New Roman" w:hAnsi="Times New Roman" w:cs="Times New Roman"/>
          <w:i/>
          <w:sz w:val="24"/>
          <w:szCs w:val="24"/>
          <w:lang w:val="en-US"/>
        </w:rPr>
        <w:t>SuikerUnie</w:t>
      </w:r>
      <w:proofErr w:type="spellEnd"/>
      <w:r w:rsidR="00621D26" w:rsidRPr="00282692">
        <w:rPr>
          <w:rStyle w:val="FootnoteReference"/>
          <w:rFonts w:ascii="Times New Roman" w:hAnsi="Times New Roman" w:cs="Times New Roman"/>
          <w:sz w:val="24"/>
          <w:szCs w:val="24"/>
        </w:rPr>
        <w:footnoteReference w:id="159"/>
      </w:r>
      <w:r w:rsidR="00644A83" w:rsidRPr="00282692">
        <w:rPr>
          <w:rFonts w:ascii="Times New Roman" w:hAnsi="Times New Roman" w:cs="Times New Roman"/>
          <w:sz w:val="24"/>
          <w:szCs w:val="24"/>
        </w:rPr>
        <w:t xml:space="preserve">. Όπως εξήγησε το Δικαστήριο στην προαναφερθείσα απόφαση, οι εν λόγω εκπτώσεις περιορίζουν την ελευθερία επιλογής του </w:t>
      </w:r>
      <w:r w:rsidR="00644A83" w:rsidRPr="00282692">
        <w:rPr>
          <w:rFonts w:ascii="Times New Roman" w:hAnsi="Times New Roman" w:cs="Times New Roman"/>
          <w:sz w:val="24"/>
          <w:szCs w:val="24"/>
        </w:rPr>
        <w:lastRenderedPageBreak/>
        <w:t>καταναλωτή, περιορίζουν τον ανταγωνισμό σε βάρος των καταναλωτών και ενισχύουν τη δύναμη αγοράς της δεσπόζουσας επιχείρησης</w:t>
      </w:r>
      <w:r w:rsidR="00621D26" w:rsidRPr="00282692">
        <w:rPr>
          <w:rStyle w:val="FootnoteReference"/>
          <w:rFonts w:ascii="Times New Roman" w:hAnsi="Times New Roman" w:cs="Times New Roman"/>
          <w:sz w:val="24"/>
          <w:szCs w:val="24"/>
        </w:rPr>
        <w:footnoteReference w:id="160"/>
      </w:r>
      <w:r w:rsidR="00644A83" w:rsidRPr="00282692">
        <w:rPr>
          <w:rFonts w:ascii="Times New Roman" w:hAnsi="Times New Roman" w:cs="Times New Roman"/>
          <w:sz w:val="24"/>
          <w:szCs w:val="24"/>
        </w:rPr>
        <w:t xml:space="preserve">. Το γεγονός ότι οι εκπτώσεις πίστης είναι </w:t>
      </w:r>
      <w:r w:rsidR="00644A83" w:rsidRPr="00282692">
        <w:rPr>
          <w:rFonts w:ascii="Times New Roman" w:hAnsi="Times New Roman" w:cs="Times New Roman"/>
          <w:sz w:val="24"/>
          <w:szCs w:val="24"/>
          <w:lang w:val="en-US"/>
        </w:rPr>
        <w:t>perse</w:t>
      </w:r>
      <w:r w:rsidR="00644A83" w:rsidRPr="00282692">
        <w:rPr>
          <w:rFonts w:ascii="Times New Roman" w:hAnsi="Times New Roman" w:cs="Times New Roman"/>
          <w:sz w:val="24"/>
          <w:szCs w:val="24"/>
        </w:rPr>
        <w:t xml:space="preserve"> αντίθετες με τους κανόνες του ελεύθερου ανταγωνισμού επιβεβαιώθηκε από το Δικαστήριο στην απόφαση </w:t>
      </w:r>
      <w:r w:rsidR="00644A83" w:rsidRPr="00282692">
        <w:rPr>
          <w:rFonts w:ascii="Times New Roman" w:hAnsi="Times New Roman" w:cs="Times New Roman"/>
          <w:i/>
          <w:sz w:val="24"/>
          <w:szCs w:val="24"/>
          <w:lang w:val="en-US"/>
        </w:rPr>
        <w:t>Hoffmann</w:t>
      </w:r>
      <w:r w:rsidR="00644A83" w:rsidRPr="00282692">
        <w:rPr>
          <w:rFonts w:ascii="Times New Roman" w:hAnsi="Times New Roman" w:cs="Times New Roman"/>
          <w:i/>
          <w:sz w:val="24"/>
          <w:szCs w:val="24"/>
        </w:rPr>
        <w:t>-</w:t>
      </w:r>
      <w:r w:rsidR="00644A83" w:rsidRPr="00282692">
        <w:rPr>
          <w:rFonts w:ascii="Times New Roman" w:hAnsi="Times New Roman" w:cs="Times New Roman"/>
          <w:i/>
          <w:sz w:val="24"/>
          <w:szCs w:val="24"/>
          <w:lang w:val="en-US"/>
        </w:rPr>
        <w:t>LaRoche</w:t>
      </w:r>
      <w:r w:rsidR="00644A83" w:rsidRPr="00282692">
        <w:rPr>
          <w:rFonts w:ascii="Times New Roman" w:hAnsi="Times New Roman" w:cs="Times New Roman"/>
          <w:sz w:val="24"/>
          <w:szCs w:val="24"/>
        </w:rPr>
        <w:t xml:space="preserve">, όπου κρίθηκε ότι, αν η δεσπόζουσα επιχείρηση εφαρμόζει ένα σύστημα εκπτώσεων </w:t>
      </w:r>
      <w:r w:rsidR="00BF0FE3" w:rsidRPr="00282692">
        <w:rPr>
          <w:rFonts w:ascii="Times New Roman" w:hAnsi="Times New Roman" w:cs="Times New Roman"/>
          <w:sz w:val="24"/>
          <w:szCs w:val="24"/>
        </w:rPr>
        <w:t>υπέρ πιστών πελατών, τότε καταχράται τη δεσπόζουσα θέση της</w:t>
      </w:r>
      <w:r w:rsidR="00621D26" w:rsidRPr="00282692">
        <w:rPr>
          <w:rStyle w:val="FootnoteReference"/>
          <w:rFonts w:ascii="Times New Roman" w:hAnsi="Times New Roman" w:cs="Times New Roman"/>
          <w:sz w:val="24"/>
          <w:szCs w:val="24"/>
        </w:rPr>
        <w:footnoteReference w:id="161"/>
      </w:r>
      <w:r w:rsidR="00BF0FE3" w:rsidRPr="00282692">
        <w:rPr>
          <w:rFonts w:ascii="Times New Roman" w:hAnsi="Times New Roman" w:cs="Times New Roman"/>
          <w:sz w:val="24"/>
          <w:szCs w:val="24"/>
        </w:rPr>
        <w:t>. Όπως μάλιστα πρόσθεσε το Δικαστήριο, οι εκπτώσεις υπέρ πιστών πελατών είναι καταχρηστικές, ανεξάρτητα από το ύψος, σημαντικό ή ελάχιστο, των αγορών του πελάτη</w:t>
      </w:r>
      <w:r w:rsidR="00BF0FE3" w:rsidRPr="00282692">
        <w:rPr>
          <w:rStyle w:val="FootnoteReference"/>
          <w:rFonts w:ascii="Times New Roman" w:hAnsi="Times New Roman" w:cs="Times New Roman"/>
          <w:sz w:val="24"/>
          <w:szCs w:val="24"/>
        </w:rPr>
        <w:footnoteReference w:id="162"/>
      </w:r>
      <w:r w:rsidR="00BF0FE3" w:rsidRPr="00282692">
        <w:rPr>
          <w:rFonts w:ascii="Times New Roman" w:hAnsi="Times New Roman" w:cs="Times New Roman"/>
          <w:sz w:val="24"/>
          <w:szCs w:val="24"/>
        </w:rPr>
        <w:t>.</w:t>
      </w:r>
    </w:p>
    <w:p w:rsidR="001E6459" w:rsidRPr="00282692" w:rsidRDefault="00BF0FE3"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Εξάλλου, οι εκπτώσεις υπέρ πιστών πελατών συνιστούν καταχρηστικές πρακτικές ακόμα και αν δεν περιλαμβάνονται σε συμβάσεις αποκλειστικής διανομής, όπως επιβεβαίωσε το Δικαστήριο στην απόφαση </w:t>
      </w:r>
      <w:r w:rsidRPr="00282692">
        <w:rPr>
          <w:rFonts w:ascii="Times New Roman" w:hAnsi="Times New Roman" w:cs="Times New Roman"/>
          <w:i/>
          <w:sz w:val="24"/>
          <w:szCs w:val="24"/>
          <w:lang w:val="en-US"/>
        </w:rPr>
        <w:t>MichelinI</w:t>
      </w:r>
      <w:r w:rsidRPr="00282692">
        <w:rPr>
          <w:rStyle w:val="FootnoteReference"/>
          <w:rFonts w:ascii="Times New Roman" w:hAnsi="Times New Roman" w:cs="Times New Roman"/>
          <w:sz w:val="24"/>
          <w:szCs w:val="24"/>
          <w:lang w:val="en-US"/>
        </w:rPr>
        <w:footnoteReference w:id="163"/>
      </w:r>
      <w:r w:rsidRPr="00282692">
        <w:rPr>
          <w:rFonts w:ascii="Times New Roman" w:hAnsi="Times New Roman" w:cs="Times New Roman"/>
          <w:sz w:val="24"/>
          <w:szCs w:val="24"/>
        </w:rPr>
        <w:t xml:space="preserve">. Σύμφωνα με τα πραγματικά περιστατικά της υπόθεσης </w:t>
      </w:r>
      <w:r w:rsidRPr="00282692">
        <w:rPr>
          <w:rFonts w:ascii="Times New Roman" w:hAnsi="Times New Roman" w:cs="Times New Roman"/>
          <w:i/>
          <w:sz w:val="24"/>
          <w:szCs w:val="24"/>
          <w:lang w:val="en-US"/>
        </w:rPr>
        <w:t>MichelinI</w:t>
      </w:r>
      <w:r w:rsidRPr="00282692">
        <w:rPr>
          <w:rFonts w:ascii="Times New Roman" w:hAnsi="Times New Roman" w:cs="Times New Roman"/>
          <w:sz w:val="24"/>
          <w:szCs w:val="24"/>
        </w:rPr>
        <w:t xml:space="preserve">, η </w:t>
      </w:r>
      <w:r w:rsidRPr="00282692">
        <w:rPr>
          <w:rFonts w:ascii="Times New Roman" w:hAnsi="Times New Roman" w:cs="Times New Roman"/>
          <w:sz w:val="24"/>
          <w:szCs w:val="24"/>
          <w:lang w:val="en-US"/>
        </w:rPr>
        <w:t>Michelin</w:t>
      </w:r>
      <w:r w:rsidR="00621D26" w:rsidRPr="00282692">
        <w:rPr>
          <w:rFonts w:ascii="Times New Roman" w:hAnsi="Times New Roman" w:cs="Times New Roman"/>
          <w:sz w:val="24"/>
          <w:szCs w:val="24"/>
        </w:rPr>
        <w:t xml:space="preserve"> απαιτούσε από του</w:t>
      </w:r>
      <w:r w:rsidRPr="00282692">
        <w:rPr>
          <w:rFonts w:ascii="Times New Roman" w:hAnsi="Times New Roman" w:cs="Times New Roman"/>
          <w:sz w:val="24"/>
          <w:szCs w:val="24"/>
        </w:rPr>
        <w:t xml:space="preserve">ς πελάτες της να επιτυγχάνουν ορισμένο επίπεδο αγορών κάθε χρόνο προκειμένου να λάβουν εκπτώσεις την επόμενη χρονιά. </w:t>
      </w:r>
      <w:r w:rsidR="001379FE" w:rsidRPr="00282692">
        <w:rPr>
          <w:rFonts w:ascii="Times New Roman" w:hAnsi="Times New Roman" w:cs="Times New Roman"/>
          <w:sz w:val="24"/>
          <w:szCs w:val="24"/>
        </w:rPr>
        <w:t xml:space="preserve">Στη συλλογιστική του, το Δικαστήριο αποδέχθηκε καταρχάς ότι οι εκπτώσεις της </w:t>
      </w:r>
      <w:r w:rsidR="001379FE" w:rsidRPr="00282692">
        <w:rPr>
          <w:rFonts w:ascii="Times New Roman" w:hAnsi="Times New Roman" w:cs="Times New Roman"/>
          <w:sz w:val="24"/>
          <w:szCs w:val="24"/>
          <w:lang w:val="en-US"/>
        </w:rPr>
        <w:t>Michelin</w:t>
      </w:r>
      <w:r w:rsidR="001379FE" w:rsidRPr="003518CE">
        <w:rPr>
          <w:rFonts w:ascii="Times New Roman" w:hAnsi="Times New Roman" w:cs="Times New Roman"/>
          <w:b/>
          <w:sz w:val="24"/>
          <w:szCs w:val="24"/>
          <w:u w:val="single"/>
        </w:rPr>
        <w:t>συνδέονταν με τον όγκο αγοράς των πελατών της</w:t>
      </w:r>
      <w:r w:rsidR="001379FE" w:rsidRPr="00282692">
        <w:rPr>
          <w:rFonts w:ascii="Times New Roman" w:hAnsi="Times New Roman" w:cs="Times New Roman"/>
          <w:sz w:val="24"/>
          <w:szCs w:val="24"/>
        </w:rPr>
        <w:t xml:space="preserve"> και στο σημείο αυτό διέφεραν από τις κλασικές εκπτώσεις υπέρ πιστών πελατών. Βάσει της διαπίστωσης αυτής, το Δικαστήριο δήλωσε ότι ήταν αναγκαίο να εκτιμηθεί το σύνολο των περιστατικών και να εξεταστεί η επίδραση των εκπτώσεων της </w:t>
      </w:r>
      <w:r w:rsidR="001379FE" w:rsidRPr="00282692">
        <w:rPr>
          <w:rFonts w:ascii="Times New Roman" w:hAnsi="Times New Roman" w:cs="Times New Roman"/>
          <w:sz w:val="24"/>
          <w:szCs w:val="24"/>
          <w:lang w:val="en-US"/>
        </w:rPr>
        <w:t>Michelin</w:t>
      </w:r>
      <w:r w:rsidR="001379FE" w:rsidRPr="00282692">
        <w:rPr>
          <w:rFonts w:ascii="Times New Roman" w:hAnsi="Times New Roman" w:cs="Times New Roman"/>
          <w:sz w:val="24"/>
          <w:szCs w:val="24"/>
        </w:rPr>
        <w:t xml:space="preserve"> στην ελευθερία επιλογής των </w:t>
      </w:r>
      <w:r w:rsidR="00D76882" w:rsidRPr="00282692">
        <w:rPr>
          <w:rFonts w:ascii="Times New Roman" w:hAnsi="Times New Roman" w:cs="Times New Roman"/>
          <w:sz w:val="24"/>
          <w:szCs w:val="24"/>
        </w:rPr>
        <w:t>πελατών της, στη</w:t>
      </w:r>
      <w:r w:rsidR="003518CE">
        <w:rPr>
          <w:rFonts w:ascii="Times New Roman" w:hAnsi="Times New Roman" w:cs="Times New Roman"/>
          <w:sz w:val="24"/>
          <w:szCs w:val="24"/>
        </w:rPr>
        <w:t>ν</w:t>
      </w:r>
      <w:r w:rsidR="00D76882" w:rsidRPr="00282692">
        <w:rPr>
          <w:rFonts w:ascii="Times New Roman" w:hAnsi="Times New Roman" w:cs="Times New Roman"/>
          <w:sz w:val="24"/>
          <w:szCs w:val="24"/>
        </w:rPr>
        <w:t xml:space="preserve"> τυχόν δημιουργία εμποδίων εισόδου και στην ενίσχυση της δεσπόζουσας θέσης της </w:t>
      </w:r>
      <w:r w:rsidR="00D76882" w:rsidRPr="00282692">
        <w:rPr>
          <w:rFonts w:ascii="Times New Roman" w:hAnsi="Times New Roman" w:cs="Times New Roman"/>
          <w:sz w:val="24"/>
          <w:szCs w:val="24"/>
          <w:lang w:val="en-US"/>
        </w:rPr>
        <w:t>Michelin</w:t>
      </w:r>
      <w:r w:rsidR="00DF47A9" w:rsidRPr="00282692">
        <w:rPr>
          <w:rStyle w:val="FootnoteReference"/>
          <w:rFonts w:ascii="Times New Roman" w:hAnsi="Times New Roman" w:cs="Times New Roman"/>
          <w:sz w:val="24"/>
          <w:szCs w:val="24"/>
          <w:lang w:val="en-US"/>
        </w:rPr>
        <w:footnoteReference w:id="164"/>
      </w:r>
      <w:r w:rsidR="00D76882" w:rsidRPr="00282692">
        <w:rPr>
          <w:rFonts w:ascii="Times New Roman" w:hAnsi="Times New Roman" w:cs="Times New Roman"/>
          <w:sz w:val="24"/>
          <w:szCs w:val="24"/>
        </w:rPr>
        <w:t xml:space="preserve">. Ωστόσο, το Δικαστήριο δεν έλαβε υπόψη κάποια ιδιαίτερη οικονομικής φύσης παράμετρο κατά την εξέταση της συμβατότητας των εκπτώσεων της </w:t>
      </w:r>
      <w:r w:rsidR="00D76882" w:rsidRPr="00282692">
        <w:rPr>
          <w:rFonts w:ascii="Times New Roman" w:hAnsi="Times New Roman" w:cs="Times New Roman"/>
          <w:sz w:val="24"/>
          <w:szCs w:val="24"/>
          <w:lang w:val="en-US"/>
        </w:rPr>
        <w:t>Michelin</w:t>
      </w:r>
      <w:r w:rsidR="00D76882" w:rsidRPr="00282692">
        <w:rPr>
          <w:rFonts w:ascii="Times New Roman" w:hAnsi="Times New Roman" w:cs="Times New Roman"/>
          <w:sz w:val="24"/>
          <w:szCs w:val="24"/>
        </w:rPr>
        <w:t xml:space="preserve"> με τους κανόνες του ελεύθερου ανταγωνισμού και κατέληξε ό</w:t>
      </w:r>
      <w:r w:rsidR="003518CE">
        <w:rPr>
          <w:rFonts w:ascii="Times New Roman" w:hAnsi="Times New Roman" w:cs="Times New Roman"/>
          <w:sz w:val="24"/>
          <w:szCs w:val="24"/>
        </w:rPr>
        <w:t>τι και οι εκπτώσεις αυτές έπρεπε να κριθούν</w:t>
      </w:r>
      <w:r w:rsidR="00D76882" w:rsidRPr="00282692">
        <w:rPr>
          <w:rFonts w:ascii="Times New Roman" w:hAnsi="Times New Roman" w:cs="Times New Roman"/>
          <w:sz w:val="24"/>
          <w:szCs w:val="24"/>
        </w:rPr>
        <w:t xml:space="preserve"> καταχρηστικές επειδή </w:t>
      </w:r>
      <w:r w:rsidR="003518CE">
        <w:rPr>
          <w:rFonts w:ascii="Times New Roman" w:hAnsi="Times New Roman" w:cs="Times New Roman"/>
          <w:sz w:val="24"/>
          <w:szCs w:val="24"/>
        </w:rPr>
        <w:t>απέβλεπαν</w:t>
      </w:r>
      <w:r w:rsidR="00754B0A" w:rsidRPr="00282692">
        <w:rPr>
          <w:rFonts w:ascii="Times New Roman" w:hAnsi="Times New Roman" w:cs="Times New Roman"/>
          <w:sz w:val="24"/>
          <w:szCs w:val="24"/>
        </w:rPr>
        <w:t xml:space="preserve"> στη δημιουργία κύκλου πιστών πελατών</w:t>
      </w:r>
      <w:r w:rsidR="00C7159B" w:rsidRPr="00282692">
        <w:rPr>
          <w:rFonts w:ascii="Times New Roman" w:hAnsi="Times New Roman" w:cs="Times New Roman"/>
          <w:sz w:val="24"/>
          <w:szCs w:val="24"/>
        </w:rPr>
        <w:t>, όπως οι κλασικές εκπτώσεις υπέρ πιστών πελατών</w:t>
      </w:r>
      <w:r w:rsidR="00C7159B" w:rsidRPr="00282692">
        <w:rPr>
          <w:rStyle w:val="FootnoteReference"/>
          <w:rFonts w:ascii="Times New Roman" w:hAnsi="Times New Roman" w:cs="Times New Roman"/>
          <w:sz w:val="24"/>
          <w:szCs w:val="24"/>
        </w:rPr>
        <w:footnoteReference w:id="165"/>
      </w:r>
      <w:r w:rsidR="00C7159B" w:rsidRPr="00282692">
        <w:rPr>
          <w:rFonts w:ascii="Times New Roman" w:hAnsi="Times New Roman" w:cs="Times New Roman"/>
          <w:sz w:val="24"/>
          <w:szCs w:val="24"/>
        </w:rPr>
        <w:t xml:space="preserve">. Δηλαδή, στην απόφαση </w:t>
      </w:r>
      <w:r w:rsidR="00C7159B" w:rsidRPr="00282692">
        <w:rPr>
          <w:rFonts w:ascii="Times New Roman" w:hAnsi="Times New Roman" w:cs="Times New Roman"/>
          <w:i/>
          <w:sz w:val="24"/>
          <w:szCs w:val="24"/>
          <w:lang w:val="en-US"/>
        </w:rPr>
        <w:t>MichelinI</w:t>
      </w:r>
      <w:r w:rsidR="00C7159B" w:rsidRPr="00282692">
        <w:rPr>
          <w:rFonts w:ascii="Times New Roman" w:hAnsi="Times New Roman" w:cs="Times New Roman"/>
          <w:sz w:val="24"/>
          <w:szCs w:val="24"/>
        </w:rPr>
        <w:t>, το Δικαστήριο δεν εξέτασε</w:t>
      </w:r>
      <w:r w:rsidR="002C5D2F" w:rsidRPr="00282692">
        <w:rPr>
          <w:rFonts w:ascii="Times New Roman" w:hAnsi="Times New Roman" w:cs="Times New Roman"/>
          <w:sz w:val="24"/>
          <w:szCs w:val="24"/>
        </w:rPr>
        <w:t>, με χρήση οικονομικών όρων,</w:t>
      </w:r>
      <w:r w:rsidR="00C7159B" w:rsidRPr="00282692">
        <w:rPr>
          <w:rFonts w:ascii="Times New Roman" w:hAnsi="Times New Roman" w:cs="Times New Roman"/>
          <w:sz w:val="24"/>
          <w:szCs w:val="24"/>
        </w:rPr>
        <w:t xml:space="preserve"> τον αντίκτυπο των εκπτώσεων που συνεπάγονται την προσέλκυση πιστών πελατών για τον ανταγωνισμό και τον καταναλωτή</w:t>
      </w:r>
      <w:r w:rsidR="002C5D2F" w:rsidRPr="00282692">
        <w:rPr>
          <w:rFonts w:ascii="Times New Roman" w:hAnsi="Times New Roman" w:cs="Times New Roman"/>
          <w:sz w:val="24"/>
          <w:szCs w:val="24"/>
        </w:rPr>
        <w:t xml:space="preserve">, αλλά περιορίστηκε να διατυπώσει την άποψη ότι </w:t>
      </w:r>
      <w:r w:rsidR="00D2482A" w:rsidRPr="00282692">
        <w:rPr>
          <w:rFonts w:ascii="Times New Roman" w:hAnsi="Times New Roman" w:cs="Times New Roman"/>
          <w:sz w:val="24"/>
          <w:szCs w:val="24"/>
        </w:rPr>
        <w:t xml:space="preserve">από το σύνολο των πραγματικών περιστατικών της κρινόμενης υπόθεσης προέκυπτε ότι οι εξεταζόμενες εκπτώσεις </w:t>
      </w:r>
      <w:r w:rsidR="003518CE">
        <w:rPr>
          <w:rFonts w:ascii="Times New Roman" w:hAnsi="Times New Roman" w:cs="Times New Roman"/>
          <w:sz w:val="24"/>
          <w:szCs w:val="24"/>
        </w:rPr>
        <w:t>έπρεπε να αντιμετωπιστούν</w:t>
      </w:r>
      <w:r w:rsidR="002C5D2F" w:rsidRPr="00282692">
        <w:rPr>
          <w:rFonts w:ascii="Times New Roman" w:hAnsi="Times New Roman" w:cs="Times New Roman"/>
          <w:sz w:val="24"/>
          <w:szCs w:val="24"/>
        </w:rPr>
        <w:t xml:space="preserve"> ως εκπτώσεις υπέρ πιστών πελατών</w:t>
      </w:r>
      <w:r w:rsidR="00D2482A" w:rsidRPr="00282692">
        <w:rPr>
          <w:rStyle w:val="FootnoteReference"/>
          <w:rFonts w:ascii="Times New Roman" w:hAnsi="Times New Roman" w:cs="Times New Roman"/>
          <w:sz w:val="24"/>
          <w:szCs w:val="24"/>
        </w:rPr>
        <w:footnoteReference w:id="166"/>
      </w:r>
      <w:r w:rsidR="002C5D2F" w:rsidRPr="00282692">
        <w:rPr>
          <w:rFonts w:ascii="Times New Roman" w:hAnsi="Times New Roman" w:cs="Times New Roman"/>
          <w:sz w:val="24"/>
          <w:szCs w:val="24"/>
        </w:rPr>
        <w:t>.</w:t>
      </w:r>
    </w:p>
    <w:p w:rsidR="001E6459" w:rsidRPr="00282692" w:rsidRDefault="001E6459"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Υπό το φως των αποφάσεων </w:t>
      </w:r>
      <w:r w:rsidRPr="00282692">
        <w:rPr>
          <w:rFonts w:ascii="Times New Roman" w:hAnsi="Times New Roman" w:cs="Times New Roman"/>
          <w:i/>
          <w:sz w:val="24"/>
          <w:szCs w:val="24"/>
          <w:lang w:val="en-US"/>
        </w:rPr>
        <w:t>Hoffmann</w:t>
      </w:r>
      <w:r w:rsidRPr="00282692">
        <w:rPr>
          <w:rFonts w:ascii="Times New Roman" w:hAnsi="Times New Roman" w:cs="Times New Roman"/>
          <w:i/>
          <w:sz w:val="24"/>
          <w:szCs w:val="24"/>
        </w:rPr>
        <w:t>-</w:t>
      </w:r>
      <w:proofErr w:type="spellStart"/>
      <w:r w:rsidRPr="00282692">
        <w:rPr>
          <w:rFonts w:ascii="Times New Roman" w:hAnsi="Times New Roman" w:cs="Times New Roman"/>
          <w:i/>
          <w:sz w:val="24"/>
          <w:szCs w:val="24"/>
          <w:lang w:val="en-US"/>
        </w:rPr>
        <w:t>LaRoche</w:t>
      </w:r>
      <w:proofErr w:type="spellEnd"/>
      <w:r w:rsidRPr="00282692">
        <w:rPr>
          <w:rFonts w:ascii="Times New Roman" w:hAnsi="Times New Roman" w:cs="Times New Roman"/>
          <w:sz w:val="24"/>
          <w:szCs w:val="24"/>
        </w:rPr>
        <w:t xml:space="preserve"> και </w:t>
      </w:r>
      <w:proofErr w:type="spellStart"/>
      <w:r w:rsidRPr="00282692">
        <w:rPr>
          <w:rFonts w:ascii="Times New Roman" w:hAnsi="Times New Roman" w:cs="Times New Roman"/>
          <w:i/>
          <w:sz w:val="24"/>
          <w:szCs w:val="24"/>
          <w:lang w:val="en-US"/>
        </w:rPr>
        <w:t>MichelinI</w:t>
      </w:r>
      <w:proofErr w:type="spellEnd"/>
      <w:r w:rsidRPr="00282692">
        <w:rPr>
          <w:rFonts w:ascii="Times New Roman" w:hAnsi="Times New Roman" w:cs="Times New Roman"/>
          <w:sz w:val="24"/>
          <w:szCs w:val="24"/>
        </w:rPr>
        <w:t xml:space="preserve">, οι εκπτώσεις υπέρ πιστών πελατών και οι εκπτώσεις που συνεπάγονται τη δημιουργία κύκλου πιστών πελατών είναι </w:t>
      </w:r>
      <w:proofErr w:type="spellStart"/>
      <w:r w:rsidRPr="00282692">
        <w:rPr>
          <w:rFonts w:ascii="Times New Roman" w:hAnsi="Times New Roman" w:cs="Times New Roman"/>
          <w:sz w:val="24"/>
          <w:szCs w:val="24"/>
          <w:lang w:val="en-US"/>
        </w:rPr>
        <w:t>perse</w:t>
      </w:r>
      <w:proofErr w:type="spellEnd"/>
      <w:r w:rsidRPr="00282692">
        <w:rPr>
          <w:rFonts w:ascii="Times New Roman" w:hAnsi="Times New Roman" w:cs="Times New Roman"/>
          <w:sz w:val="24"/>
          <w:szCs w:val="24"/>
        </w:rPr>
        <w:t>αντ</w:t>
      </w:r>
      <w:r w:rsidR="00621D26" w:rsidRPr="00282692">
        <w:rPr>
          <w:rFonts w:ascii="Times New Roman" w:hAnsi="Times New Roman" w:cs="Times New Roman"/>
          <w:sz w:val="24"/>
          <w:szCs w:val="24"/>
        </w:rPr>
        <w:t>ι-</w:t>
      </w:r>
      <w:r w:rsidRPr="00282692">
        <w:rPr>
          <w:rFonts w:ascii="Times New Roman" w:hAnsi="Times New Roman" w:cs="Times New Roman"/>
          <w:sz w:val="24"/>
          <w:szCs w:val="24"/>
        </w:rPr>
        <w:t>αγωνιστικές, χωρίς να χρειάζεται οικονομική αξιολόγηση του αντίκτυπού τους στον ανταγωνισμό και στην ευημερία του καταναλωτή σε κάθε συγκεκριμένη υπόθεση.</w:t>
      </w:r>
    </w:p>
    <w:p w:rsidR="003270DA" w:rsidRPr="00282692" w:rsidRDefault="001E6459"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Η θεώρηση των </w:t>
      </w:r>
      <w:r w:rsidR="005D1B58" w:rsidRPr="00282692">
        <w:rPr>
          <w:rFonts w:ascii="Times New Roman" w:hAnsi="Times New Roman" w:cs="Times New Roman"/>
          <w:sz w:val="24"/>
          <w:szCs w:val="24"/>
        </w:rPr>
        <w:t xml:space="preserve">εκπτώσεων υπέρ πιστών πελατών και των εκπτώσεων που συνεπάγονται τη δημιουργία κύκλου πιστών πελατών ως </w:t>
      </w:r>
      <w:r w:rsidR="005D1B58" w:rsidRPr="00282692">
        <w:rPr>
          <w:rFonts w:ascii="Times New Roman" w:hAnsi="Times New Roman" w:cs="Times New Roman"/>
          <w:sz w:val="24"/>
          <w:szCs w:val="24"/>
          <w:lang w:val="en-US"/>
        </w:rPr>
        <w:t>perse</w:t>
      </w:r>
      <w:r w:rsidR="005D1B58" w:rsidRPr="00282692">
        <w:rPr>
          <w:rFonts w:ascii="Times New Roman" w:hAnsi="Times New Roman" w:cs="Times New Roman"/>
          <w:sz w:val="24"/>
          <w:szCs w:val="24"/>
        </w:rPr>
        <w:t xml:space="preserve"> παραβάσεων του ελεύθερου ανταγωνισμού κυριαρχεί στη νομολογία των ενωσιακών δικαστηρίων </w:t>
      </w:r>
      <w:r w:rsidR="005D1B58" w:rsidRPr="00282692">
        <w:rPr>
          <w:rFonts w:ascii="Times New Roman" w:hAnsi="Times New Roman" w:cs="Times New Roman"/>
          <w:sz w:val="24"/>
          <w:szCs w:val="24"/>
        </w:rPr>
        <w:lastRenderedPageBreak/>
        <w:t xml:space="preserve">κατά τη δεκαετία του 1990. Ειδικότερα, στην απόφαση </w:t>
      </w:r>
      <w:r w:rsidR="005D1B58" w:rsidRPr="00282692">
        <w:rPr>
          <w:rFonts w:ascii="Times New Roman" w:hAnsi="Times New Roman" w:cs="Times New Roman"/>
          <w:i/>
          <w:sz w:val="24"/>
          <w:szCs w:val="24"/>
          <w:lang w:val="en-US"/>
        </w:rPr>
        <w:t>BritishGypsum</w:t>
      </w:r>
      <w:r w:rsidR="00D2482A" w:rsidRPr="00282692">
        <w:rPr>
          <w:rStyle w:val="FootnoteReference"/>
          <w:rFonts w:ascii="Times New Roman" w:hAnsi="Times New Roman" w:cs="Times New Roman"/>
          <w:i/>
          <w:sz w:val="24"/>
          <w:szCs w:val="24"/>
          <w:lang w:val="en-US"/>
        </w:rPr>
        <w:footnoteReference w:id="167"/>
      </w:r>
      <w:r w:rsidR="00D2482A" w:rsidRPr="00282692">
        <w:rPr>
          <w:rFonts w:ascii="Times New Roman" w:hAnsi="Times New Roman" w:cs="Times New Roman"/>
          <w:sz w:val="24"/>
          <w:szCs w:val="24"/>
        </w:rPr>
        <w:t>,</w:t>
      </w:r>
      <w:r w:rsidR="005D1B58" w:rsidRPr="00282692">
        <w:rPr>
          <w:rFonts w:ascii="Times New Roman" w:hAnsi="Times New Roman" w:cs="Times New Roman"/>
          <w:sz w:val="24"/>
          <w:szCs w:val="24"/>
        </w:rPr>
        <w:t xml:space="preserve"> το Γενικό Δικαστήριο </w:t>
      </w:r>
      <w:r w:rsidR="00366580" w:rsidRPr="00282692">
        <w:rPr>
          <w:rFonts w:ascii="Times New Roman" w:hAnsi="Times New Roman" w:cs="Times New Roman"/>
          <w:sz w:val="24"/>
          <w:szCs w:val="24"/>
        </w:rPr>
        <w:t xml:space="preserve">έκρινε ότι οι δεσμεύσεις αποκλειστικών αγορών δεν μπορούν καταρχήν να απαγορευτούν, αλλά για την εκτίμηση του τυχόν καταχρηστικού χαρακτήρα των εν λόγω δεσμεύσεων απαιτείται εκτίμηση των αποτελεσμάτων των εν λόγω δεσμεύσεων στην αγορά </w:t>
      </w:r>
      <w:r w:rsidR="003518CE">
        <w:rPr>
          <w:rFonts w:ascii="Times New Roman" w:hAnsi="Times New Roman" w:cs="Times New Roman"/>
          <w:sz w:val="24"/>
          <w:szCs w:val="24"/>
        </w:rPr>
        <w:t>εντός του ειδικού</w:t>
      </w:r>
      <w:r w:rsidR="00366580" w:rsidRPr="00282692">
        <w:rPr>
          <w:rFonts w:ascii="Times New Roman" w:hAnsi="Times New Roman" w:cs="Times New Roman"/>
          <w:sz w:val="24"/>
          <w:szCs w:val="24"/>
        </w:rPr>
        <w:t xml:space="preserve"> τους </w:t>
      </w:r>
      <w:r w:rsidR="003518CE" w:rsidRPr="00282692">
        <w:rPr>
          <w:rFonts w:ascii="Times New Roman" w:hAnsi="Times New Roman" w:cs="Times New Roman"/>
          <w:sz w:val="24"/>
          <w:szCs w:val="24"/>
        </w:rPr>
        <w:t>πλαισίο</w:t>
      </w:r>
      <w:r w:rsidR="003518CE">
        <w:rPr>
          <w:rFonts w:ascii="Times New Roman" w:hAnsi="Times New Roman" w:cs="Times New Roman"/>
          <w:sz w:val="24"/>
          <w:szCs w:val="24"/>
        </w:rPr>
        <w:t>υ</w:t>
      </w:r>
      <w:r w:rsidR="00366580" w:rsidRPr="00282692">
        <w:rPr>
          <w:rStyle w:val="FootnoteReference"/>
          <w:rFonts w:ascii="Times New Roman" w:hAnsi="Times New Roman" w:cs="Times New Roman"/>
          <w:sz w:val="24"/>
          <w:szCs w:val="24"/>
        </w:rPr>
        <w:footnoteReference w:id="168"/>
      </w:r>
      <w:r w:rsidR="00366580" w:rsidRPr="00282692">
        <w:rPr>
          <w:rFonts w:ascii="Times New Roman" w:hAnsi="Times New Roman" w:cs="Times New Roman"/>
          <w:sz w:val="24"/>
          <w:szCs w:val="24"/>
        </w:rPr>
        <w:t>. Ωστόσο, τόνισ</w:t>
      </w:r>
      <w:r w:rsidR="003518CE">
        <w:rPr>
          <w:rFonts w:ascii="Times New Roman" w:hAnsi="Times New Roman" w:cs="Times New Roman"/>
          <w:sz w:val="24"/>
          <w:szCs w:val="24"/>
        </w:rPr>
        <w:t>ε ότι η θέση αυτή δεν μπορούσε</w:t>
      </w:r>
      <w:r w:rsidR="00366580" w:rsidRPr="00282692">
        <w:rPr>
          <w:rFonts w:ascii="Times New Roman" w:hAnsi="Times New Roman" w:cs="Times New Roman"/>
          <w:sz w:val="24"/>
          <w:szCs w:val="24"/>
        </w:rPr>
        <w:t xml:space="preserve"> να γίνει ανεπιφύλακτα δεκτή σε μια αγορά στην οποία, λόγω ακριβώς της δεσπόζουσας θέσης που κατέχει ο ένας από τους εταίρους, ο ανταγωνισμός είναι ήδη περιορισμένος</w:t>
      </w:r>
      <w:r w:rsidR="00366580" w:rsidRPr="00282692">
        <w:rPr>
          <w:rStyle w:val="FootnoteReference"/>
          <w:rFonts w:ascii="Times New Roman" w:hAnsi="Times New Roman" w:cs="Times New Roman"/>
          <w:sz w:val="24"/>
          <w:szCs w:val="24"/>
        </w:rPr>
        <w:footnoteReference w:id="169"/>
      </w:r>
      <w:r w:rsidR="00366580" w:rsidRPr="00282692">
        <w:rPr>
          <w:rFonts w:ascii="Times New Roman" w:hAnsi="Times New Roman" w:cs="Times New Roman"/>
          <w:sz w:val="24"/>
          <w:szCs w:val="24"/>
        </w:rPr>
        <w:t>. Επιπλέον, το Γενικό Δικαστήριο δεν αποδέχθηκε το επιχείρημα που πρόβαλε η δεσπόζουσα επιχείρηση για να δικαιολογήσει τη συμβατότητα των εκπτώσεων υπέρ πιστών πελατών που εφάρμοζε, ότι δηλαδή οι έμποροι προς τους οποίους οι εν λόγω εκπτώσεις απευθύνονταν μπορούσαν να διακόψουν ανά πάσα στιγμή τις συμβατικές τους σχέσεις με τη δεσπόζουσα επιχείρηση</w:t>
      </w:r>
      <w:r w:rsidR="00366580" w:rsidRPr="00282692">
        <w:rPr>
          <w:rStyle w:val="FootnoteReference"/>
          <w:rFonts w:ascii="Times New Roman" w:hAnsi="Times New Roman" w:cs="Times New Roman"/>
          <w:sz w:val="24"/>
          <w:szCs w:val="24"/>
        </w:rPr>
        <w:footnoteReference w:id="170"/>
      </w:r>
      <w:r w:rsidR="00366580" w:rsidRPr="00282692">
        <w:rPr>
          <w:rFonts w:ascii="Times New Roman" w:hAnsi="Times New Roman" w:cs="Times New Roman"/>
          <w:sz w:val="24"/>
          <w:szCs w:val="24"/>
        </w:rPr>
        <w:t>. Όπως παρατήρησε το Γενικό Δικαστήριο, «μια επιχείρηση σε δεσπόζουσα θέση διαθέτει εξουσία που μπορεί να της επιτρέψει να επιβάλλει στους πελάτες της όχι μόνο τη σύναψη τέτοιων συμβάσεων, αλλά επίσης και τη διατήρησή τους, καθιστώντας έτσι, στην πραγματικότητα, απατηλή τη νομική δυνατότητα καταγγελίας.»</w:t>
      </w:r>
      <w:r w:rsidR="00E9224C" w:rsidRPr="00282692">
        <w:rPr>
          <w:rStyle w:val="FootnoteReference"/>
          <w:rFonts w:ascii="Times New Roman" w:hAnsi="Times New Roman" w:cs="Times New Roman"/>
          <w:sz w:val="24"/>
          <w:szCs w:val="24"/>
        </w:rPr>
        <w:footnoteReference w:id="171"/>
      </w:r>
      <w:r w:rsidR="003270DA" w:rsidRPr="00282692">
        <w:rPr>
          <w:rFonts w:ascii="Times New Roman" w:hAnsi="Times New Roman" w:cs="Times New Roman"/>
          <w:sz w:val="24"/>
          <w:szCs w:val="24"/>
        </w:rPr>
        <w:t xml:space="preserve"> Από την παραδοχή αυτή προκύπτει ότι, κατά την αντίληψη του Γενικού Δικαστηρίου, </w:t>
      </w:r>
      <w:r w:rsidR="003270DA" w:rsidRPr="00133D24">
        <w:rPr>
          <w:rFonts w:ascii="Times New Roman" w:hAnsi="Times New Roman" w:cs="Times New Roman"/>
          <w:b/>
          <w:sz w:val="24"/>
          <w:szCs w:val="24"/>
          <w:u w:val="single"/>
        </w:rPr>
        <w:t>η δεσπόζουσα επιχείρηση καταχράται τη θέση της εφαρμόζοντας εκπτώσεις υπέρ πιστών πελατών, ανεξάρτητα από την οικονομική δύναμη των πελατών της.</w:t>
      </w:r>
    </w:p>
    <w:p w:rsidR="00332C66" w:rsidRPr="00282692" w:rsidRDefault="00CA09B8"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Οι πάγιες αρχές σχετικά με τη νομική αξιολόγηση των εκπτώσεων υπέρ πιστών πελατών</w:t>
      </w:r>
      <w:r w:rsidR="00D2482A" w:rsidRPr="00282692">
        <w:rPr>
          <w:rFonts w:ascii="Times New Roman" w:hAnsi="Times New Roman" w:cs="Times New Roman"/>
          <w:sz w:val="24"/>
          <w:szCs w:val="24"/>
        </w:rPr>
        <w:t>, στις οποίες περιλαμβάνονταικαι οι</w:t>
      </w:r>
      <w:r w:rsidR="00DA1B88" w:rsidRPr="00282692">
        <w:rPr>
          <w:rFonts w:ascii="Times New Roman" w:hAnsi="Times New Roman" w:cs="Times New Roman"/>
          <w:sz w:val="24"/>
          <w:szCs w:val="24"/>
        </w:rPr>
        <w:t xml:space="preserve"> εκπτώσεις</w:t>
      </w:r>
      <w:r w:rsidR="00431BD2" w:rsidRPr="00282692">
        <w:rPr>
          <w:rFonts w:ascii="Times New Roman" w:hAnsi="Times New Roman" w:cs="Times New Roman"/>
          <w:sz w:val="24"/>
          <w:szCs w:val="24"/>
        </w:rPr>
        <w:t xml:space="preserve"> που συνεπάγονται τη δημιουργία κύκλου πιστών πελατών</w:t>
      </w:r>
      <w:r w:rsidR="00DA1B88" w:rsidRPr="00282692">
        <w:rPr>
          <w:rFonts w:ascii="Times New Roman" w:hAnsi="Times New Roman" w:cs="Times New Roman"/>
          <w:sz w:val="24"/>
          <w:szCs w:val="24"/>
        </w:rPr>
        <w:t>,</w:t>
      </w:r>
      <w:r w:rsidR="00431BD2" w:rsidRPr="00282692">
        <w:rPr>
          <w:rFonts w:ascii="Times New Roman" w:hAnsi="Times New Roman" w:cs="Times New Roman"/>
          <w:sz w:val="24"/>
          <w:szCs w:val="24"/>
        </w:rPr>
        <w:t xml:space="preserve"> επιβεβαιώθηκαν</w:t>
      </w:r>
      <w:r w:rsidRPr="00282692">
        <w:rPr>
          <w:rFonts w:ascii="Times New Roman" w:hAnsi="Times New Roman" w:cs="Times New Roman"/>
          <w:sz w:val="24"/>
          <w:szCs w:val="24"/>
        </w:rPr>
        <w:t xml:space="preserve"> στην απόφαση </w:t>
      </w:r>
      <w:r w:rsidRPr="00282692">
        <w:rPr>
          <w:rFonts w:ascii="Times New Roman" w:hAnsi="Times New Roman" w:cs="Times New Roman"/>
          <w:i/>
          <w:sz w:val="24"/>
          <w:szCs w:val="24"/>
          <w:lang w:val="en-US"/>
        </w:rPr>
        <w:t>IrishSugar</w:t>
      </w:r>
      <w:r w:rsidR="00E9224C" w:rsidRPr="00282692">
        <w:rPr>
          <w:rStyle w:val="FootnoteReference"/>
          <w:rFonts w:ascii="Times New Roman" w:hAnsi="Times New Roman" w:cs="Times New Roman"/>
          <w:sz w:val="24"/>
          <w:szCs w:val="24"/>
        </w:rPr>
        <w:footnoteReference w:id="172"/>
      </w:r>
      <w:r w:rsidR="00431BD2" w:rsidRPr="00282692">
        <w:rPr>
          <w:rFonts w:ascii="Times New Roman" w:hAnsi="Times New Roman" w:cs="Times New Roman"/>
          <w:sz w:val="24"/>
          <w:szCs w:val="24"/>
        </w:rPr>
        <w:t xml:space="preserve">. Στην απόφαση αυτή, </w:t>
      </w:r>
      <w:r w:rsidRPr="00282692">
        <w:rPr>
          <w:rFonts w:ascii="Times New Roman" w:hAnsi="Times New Roman" w:cs="Times New Roman"/>
          <w:sz w:val="24"/>
          <w:szCs w:val="24"/>
        </w:rPr>
        <w:t xml:space="preserve">το Γενικό Δικαστήριο </w:t>
      </w:r>
      <w:r w:rsidR="00431BD2" w:rsidRPr="00282692">
        <w:rPr>
          <w:rFonts w:ascii="Times New Roman" w:hAnsi="Times New Roman" w:cs="Times New Roman"/>
          <w:sz w:val="24"/>
          <w:szCs w:val="24"/>
        </w:rPr>
        <w:t>στήριξε τον καταχρηστικό χαρακτήρα των εν λόγω εκπτώσεων</w:t>
      </w:r>
      <w:r w:rsidR="0082478A" w:rsidRPr="00282692">
        <w:rPr>
          <w:rFonts w:ascii="Times New Roman" w:hAnsi="Times New Roman" w:cs="Times New Roman"/>
          <w:sz w:val="24"/>
          <w:szCs w:val="24"/>
        </w:rPr>
        <w:t xml:space="preserve"> σε τρία αποτελέσματα που οι εν λόγω εκπτώσεις συνεπάγονται, δηλαδή </w:t>
      </w:r>
      <w:r w:rsidR="00431BD2" w:rsidRPr="00282692">
        <w:rPr>
          <w:rFonts w:ascii="Times New Roman" w:hAnsi="Times New Roman" w:cs="Times New Roman"/>
          <w:sz w:val="24"/>
          <w:szCs w:val="24"/>
        </w:rPr>
        <w:t xml:space="preserve">την αφαίρεση ή τον περιορισμό της δυνατότητας επιλογής του αγοραστή όσον αφορά τις </w:t>
      </w:r>
      <w:r w:rsidR="0082478A" w:rsidRPr="00282692">
        <w:rPr>
          <w:rFonts w:ascii="Times New Roman" w:hAnsi="Times New Roman" w:cs="Times New Roman"/>
          <w:sz w:val="24"/>
          <w:szCs w:val="24"/>
        </w:rPr>
        <w:t>πηγές εφοδιασμού του, την παρεμπόδιση της εισόδου των ανταγωνιστών στην αγορά και την ενίσχυση της θέσης της δεσπόζουσας επιχείρησης</w:t>
      </w:r>
      <w:r w:rsidR="0082478A" w:rsidRPr="00282692">
        <w:rPr>
          <w:rStyle w:val="FootnoteReference"/>
          <w:rFonts w:ascii="Times New Roman" w:hAnsi="Times New Roman" w:cs="Times New Roman"/>
          <w:sz w:val="24"/>
          <w:szCs w:val="24"/>
        </w:rPr>
        <w:footnoteReference w:id="173"/>
      </w:r>
      <w:r w:rsidR="0082478A" w:rsidRPr="00282692">
        <w:rPr>
          <w:rFonts w:ascii="Times New Roman" w:hAnsi="Times New Roman" w:cs="Times New Roman"/>
          <w:sz w:val="24"/>
          <w:szCs w:val="24"/>
        </w:rPr>
        <w:t>.</w:t>
      </w:r>
    </w:p>
    <w:p w:rsidR="005C33D5" w:rsidRPr="00282692" w:rsidRDefault="00332C66"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Αντίθετα, στις αποφάσεις </w:t>
      </w:r>
      <w:r w:rsidRPr="00282692">
        <w:rPr>
          <w:rFonts w:ascii="Times New Roman" w:hAnsi="Times New Roman" w:cs="Times New Roman"/>
          <w:i/>
          <w:sz w:val="24"/>
          <w:szCs w:val="24"/>
          <w:lang w:val="en-US"/>
        </w:rPr>
        <w:t>Hoffmann</w:t>
      </w:r>
      <w:r w:rsidRPr="00282692">
        <w:rPr>
          <w:rFonts w:ascii="Times New Roman" w:hAnsi="Times New Roman" w:cs="Times New Roman"/>
          <w:i/>
          <w:sz w:val="24"/>
          <w:szCs w:val="24"/>
        </w:rPr>
        <w:t>-</w:t>
      </w:r>
      <w:r w:rsidRPr="00282692">
        <w:rPr>
          <w:rFonts w:ascii="Times New Roman" w:hAnsi="Times New Roman" w:cs="Times New Roman"/>
          <w:i/>
          <w:sz w:val="24"/>
          <w:szCs w:val="24"/>
          <w:lang w:val="en-US"/>
        </w:rPr>
        <w:t>LaRoche</w:t>
      </w:r>
      <w:r w:rsidRPr="00282692">
        <w:rPr>
          <w:rFonts w:ascii="Times New Roman" w:hAnsi="Times New Roman" w:cs="Times New Roman"/>
          <w:sz w:val="24"/>
          <w:szCs w:val="24"/>
        </w:rPr>
        <w:t xml:space="preserve">, </w:t>
      </w:r>
      <w:r w:rsidRPr="00282692">
        <w:rPr>
          <w:rFonts w:ascii="Times New Roman" w:hAnsi="Times New Roman" w:cs="Times New Roman"/>
          <w:i/>
          <w:sz w:val="24"/>
          <w:szCs w:val="24"/>
          <w:lang w:val="en-US"/>
        </w:rPr>
        <w:t>MichelinI</w:t>
      </w:r>
      <w:r w:rsidRPr="00282692">
        <w:rPr>
          <w:rFonts w:ascii="Times New Roman" w:hAnsi="Times New Roman" w:cs="Times New Roman"/>
          <w:sz w:val="24"/>
          <w:szCs w:val="24"/>
        </w:rPr>
        <w:t xml:space="preserve">, </w:t>
      </w:r>
      <w:r w:rsidRPr="00282692">
        <w:rPr>
          <w:rFonts w:ascii="Times New Roman" w:hAnsi="Times New Roman" w:cs="Times New Roman"/>
          <w:i/>
          <w:sz w:val="24"/>
          <w:szCs w:val="24"/>
          <w:lang w:val="en-US"/>
        </w:rPr>
        <w:t>BritishGypsum</w:t>
      </w:r>
      <w:r w:rsidRPr="00282692">
        <w:rPr>
          <w:rFonts w:ascii="Times New Roman" w:hAnsi="Times New Roman" w:cs="Times New Roman"/>
          <w:sz w:val="24"/>
          <w:szCs w:val="24"/>
        </w:rPr>
        <w:t xml:space="preserve"> και </w:t>
      </w:r>
      <w:r w:rsidRPr="00282692">
        <w:rPr>
          <w:rFonts w:ascii="Times New Roman" w:hAnsi="Times New Roman" w:cs="Times New Roman"/>
          <w:i/>
          <w:sz w:val="24"/>
          <w:szCs w:val="24"/>
          <w:lang w:val="en-US"/>
        </w:rPr>
        <w:t>IrishSugar</w:t>
      </w:r>
      <w:r w:rsidRPr="00282692">
        <w:rPr>
          <w:rFonts w:ascii="Times New Roman" w:hAnsi="Times New Roman" w:cs="Times New Roman"/>
          <w:sz w:val="24"/>
          <w:szCs w:val="24"/>
        </w:rPr>
        <w:t xml:space="preserve">, δεν έγιναν δεκτά επιχειρήματα που επιδίωξαν να στηρίξουν τη νομιμότητα εκπτώσεων υπέρ πιστών πελατών </w:t>
      </w:r>
      <w:r w:rsidR="00DA1B88" w:rsidRPr="00282692">
        <w:rPr>
          <w:rFonts w:ascii="Times New Roman" w:hAnsi="Times New Roman" w:cs="Times New Roman"/>
          <w:sz w:val="24"/>
          <w:szCs w:val="24"/>
        </w:rPr>
        <w:t xml:space="preserve">σε αποτελεσματικότητες που, κατά την εκτίμηση των δεσποζουσών επιχειρήσεων, παράγονταν από τις εν λόγω εκπτώσεις. Εξάλλου, η </w:t>
      </w:r>
      <w:proofErr w:type="spellStart"/>
      <w:r w:rsidR="00DA1B88" w:rsidRPr="00282692">
        <w:rPr>
          <w:rFonts w:ascii="Times New Roman" w:hAnsi="Times New Roman" w:cs="Times New Roman"/>
          <w:sz w:val="24"/>
          <w:szCs w:val="24"/>
          <w:lang w:val="en-US"/>
        </w:rPr>
        <w:t>perse</w:t>
      </w:r>
      <w:proofErr w:type="spellEnd"/>
      <w:r w:rsidR="00DA1B88" w:rsidRPr="00282692">
        <w:rPr>
          <w:rFonts w:ascii="Times New Roman" w:hAnsi="Times New Roman" w:cs="Times New Roman"/>
          <w:sz w:val="24"/>
          <w:szCs w:val="24"/>
        </w:rPr>
        <w:t xml:space="preserve">καταχρηστικότητα των εν λόγω εκπτώσεων έγινε </w:t>
      </w:r>
      <w:r w:rsidR="005C33D5" w:rsidRPr="00282692">
        <w:rPr>
          <w:rFonts w:ascii="Times New Roman" w:hAnsi="Times New Roman" w:cs="Times New Roman"/>
          <w:sz w:val="24"/>
          <w:szCs w:val="24"/>
        </w:rPr>
        <w:t xml:space="preserve">δεκτή στις εν λόγω αποφάσεις </w:t>
      </w:r>
      <w:r w:rsidR="005C33D5" w:rsidRPr="00133D24">
        <w:rPr>
          <w:rFonts w:ascii="Times New Roman" w:hAnsi="Times New Roman" w:cs="Times New Roman"/>
          <w:b/>
          <w:sz w:val="24"/>
          <w:szCs w:val="24"/>
          <w:u w:val="single"/>
        </w:rPr>
        <w:t>χωρίς να ληφθούν υπόψη</w:t>
      </w:r>
      <w:r w:rsidR="005C33D5" w:rsidRPr="00282692">
        <w:rPr>
          <w:rFonts w:ascii="Times New Roman" w:hAnsi="Times New Roman" w:cs="Times New Roman"/>
          <w:sz w:val="24"/>
          <w:szCs w:val="24"/>
        </w:rPr>
        <w:t xml:space="preserve"> η δύναμη αγοράς των πελατών της </w:t>
      </w:r>
      <w:r w:rsidR="006764E6" w:rsidRPr="00282692">
        <w:rPr>
          <w:rFonts w:ascii="Times New Roman" w:hAnsi="Times New Roman" w:cs="Times New Roman"/>
          <w:sz w:val="24"/>
          <w:szCs w:val="24"/>
        </w:rPr>
        <w:t>δεσπόζουσας επιχείρησης,</w:t>
      </w:r>
      <w:r w:rsidR="005C33D5" w:rsidRPr="00282692">
        <w:rPr>
          <w:rFonts w:ascii="Times New Roman" w:hAnsi="Times New Roman" w:cs="Times New Roman"/>
          <w:sz w:val="24"/>
          <w:szCs w:val="24"/>
        </w:rPr>
        <w:t xml:space="preserve"> η δυνατότητα των τελευταίων να ανταγωνιστούν με θεμιτούς όρους τη δεσπόζου</w:t>
      </w:r>
      <w:r w:rsidR="006764E6" w:rsidRPr="00282692">
        <w:rPr>
          <w:rFonts w:ascii="Times New Roman" w:hAnsi="Times New Roman" w:cs="Times New Roman"/>
          <w:sz w:val="24"/>
          <w:szCs w:val="24"/>
        </w:rPr>
        <w:t xml:space="preserve">σα επιχείρηση καθώς </w:t>
      </w:r>
      <w:r w:rsidR="00E60CE8" w:rsidRPr="00282692">
        <w:rPr>
          <w:rFonts w:ascii="Times New Roman" w:hAnsi="Times New Roman" w:cs="Times New Roman"/>
          <w:sz w:val="24"/>
          <w:szCs w:val="24"/>
        </w:rPr>
        <w:t>και το αν οι εν λόγω εκπτώσεις συνεπάγονταν πράγματι τη δημιουργία πιστής πελατειακής σχέσης.</w:t>
      </w:r>
    </w:p>
    <w:p w:rsidR="006764E6" w:rsidRPr="00282692" w:rsidRDefault="005C33D5"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Η τάση των ενωσιακών δικαστηρίων να κρίνουν τις </w:t>
      </w:r>
      <w:r w:rsidR="00163AA5" w:rsidRPr="00282692">
        <w:rPr>
          <w:rFonts w:ascii="Times New Roman" w:hAnsi="Times New Roman" w:cs="Times New Roman"/>
          <w:sz w:val="24"/>
          <w:szCs w:val="24"/>
        </w:rPr>
        <w:t xml:space="preserve">εκπτώσεις υπέρ πιστών πελατών ως καταχρηστικών φαίνεται να αναθεωρείται ελαφρώς στην απόφαση </w:t>
      </w:r>
      <w:r w:rsidR="00163AA5" w:rsidRPr="00282692">
        <w:rPr>
          <w:rFonts w:ascii="Times New Roman" w:hAnsi="Times New Roman" w:cs="Times New Roman"/>
          <w:i/>
          <w:sz w:val="24"/>
          <w:szCs w:val="24"/>
          <w:lang w:val="en-US"/>
        </w:rPr>
        <w:t>BritishAirways</w:t>
      </w:r>
      <w:r w:rsidR="00163AA5" w:rsidRPr="00282692">
        <w:rPr>
          <w:rFonts w:ascii="Times New Roman" w:hAnsi="Times New Roman" w:cs="Times New Roman"/>
          <w:sz w:val="24"/>
          <w:szCs w:val="24"/>
        </w:rPr>
        <w:t xml:space="preserve"> και ακόμα περισσότερο στην απόφαση </w:t>
      </w:r>
      <w:r w:rsidR="00163AA5" w:rsidRPr="00282692">
        <w:rPr>
          <w:rFonts w:ascii="Times New Roman" w:hAnsi="Times New Roman" w:cs="Times New Roman"/>
          <w:i/>
          <w:sz w:val="24"/>
          <w:szCs w:val="24"/>
          <w:lang w:val="en-US"/>
        </w:rPr>
        <w:t>MichelinII</w:t>
      </w:r>
      <w:r w:rsidR="00163AA5" w:rsidRPr="00282692">
        <w:rPr>
          <w:rFonts w:ascii="Times New Roman" w:hAnsi="Times New Roman" w:cs="Times New Roman"/>
          <w:sz w:val="24"/>
          <w:szCs w:val="24"/>
        </w:rPr>
        <w:t>.</w:t>
      </w:r>
    </w:p>
    <w:p w:rsidR="00DB5506" w:rsidRPr="00282692" w:rsidRDefault="006764E6"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Ειδικότερα,</w:t>
      </w:r>
      <w:r w:rsidR="00876360" w:rsidRPr="00282692">
        <w:rPr>
          <w:rFonts w:ascii="Times New Roman" w:hAnsi="Times New Roman" w:cs="Times New Roman"/>
          <w:sz w:val="24"/>
          <w:szCs w:val="24"/>
        </w:rPr>
        <w:t xml:space="preserve"> στην υπόθεση</w:t>
      </w:r>
      <w:r w:rsidRPr="00282692">
        <w:rPr>
          <w:rFonts w:ascii="Times New Roman" w:hAnsi="Times New Roman" w:cs="Times New Roman"/>
          <w:i/>
          <w:sz w:val="24"/>
          <w:szCs w:val="24"/>
          <w:lang w:val="en-US"/>
        </w:rPr>
        <w:t>BritishAirways</w:t>
      </w:r>
      <w:r w:rsidRPr="00282692">
        <w:rPr>
          <w:rFonts w:ascii="Times New Roman" w:hAnsi="Times New Roman" w:cs="Times New Roman"/>
          <w:sz w:val="24"/>
          <w:szCs w:val="24"/>
        </w:rPr>
        <w:t xml:space="preserve">, το Γενικό Δικαστήριο </w:t>
      </w:r>
      <w:r w:rsidR="00E60CE8" w:rsidRPr="00282692">
        <w:rPr>
          <w:rFonts w:ascii="Times New Roman" w:hAnsi="Times New Roman" w:cs="Times New Roman"/>
          <w:sz w:val="24"/>
          <w:szCs w:val="24"/>
        </w:rPr>
        <w:t xml:space="preserve">έκρινε ότι, προκειμένου ένα σύστημα εκπτώσεων να κριθεί καταχρηστικό υπό το πρίσμα του </w:t>
      </w:r>
      <w:r w:rsidR="00E60CE8" w:rsidRPr="00282692">
        <w:rPr>
          <w:rFonts w:ascii="Times New Roman" w:hAnsi="Times New Roman" w:cs="Times New Roman"/>
          <w:sz w:val="24"/>
          <w:szCs w:val="24"/>
        </w:rPr>
        <w:lastRenderedPageBreak/>
        <w:t>άρθρου 82 ΣυνθΕΚ (νυν άρθρου 102 ΣΛΕΕ), πρέπει να αποδεικνύεται, πρώτον, ότι τα εν λόγω συστήματα δημιουργούν πράγματι πιστή πελατειακή σχέση και, δεύτερον, ότι τα εν λόγω συστήματα δεν στηρίζονται σε οικονομικώς δικαιολογημένη αντιπαροχή</w:t>
      </w:r>
      <w:r w:rsidR="00E60CE8" w:rsidRPr="00282692">
        <w:rPr>
          <w:rStyle w:val="FootnoteReference"/>
          <w:rFonts w:ascii="Times New Roman" w:hAnsi="Times New Roman" w:cs="Times New Roman"/>
          <w:sz w:val="24"/>
          <w:szCs w:val="24"/>
        </w:rPr>
        <w:footnoteReference w:id="174"/>
      </w:r>
      <w:r w:rsidR="00E60CE8" w:rsidRPr="00282692">
        <w:rPr>
          <w:rFonts w:ascii="Times New Roman" w:hAnsi="Times New Roman" w:cs="Times New Roman"/>
          <w:sz w:val="24"/>
          <w:szCs w:val="24"/>
        </w:rPr>
        <w:t>. Η ισχύς του τεστ αυτού επιβεβαιώθηκε</w:t>
      </w:r>
      <w:r w:rsidR="00876360" w:rsidRPr="00282692">
        <w:rPr>
          <w:rFonts w:ascii="Times New Roman" w:hAnsi="Times New Roman" w:cs="Times New Roman"/>
          <w:sz w:val="24"/>
          <w:szCs w:val="24"/>
        </w:rPr>
        <w:t xml:space="preserve"> κατ’ έφεση</w:t>
      </w:r>
      <w:r w:rsidR="00E60CE8" w:rsidRPr="00282692">
        <w:rPr>
          <w:rFonts w:ascii="Times New Roman" w:hAnsi="Times New Roman" w:cs="Times New Roman"/>
          <w:sz w:val="24"/>
          <w:szCs w:val="24"/>
        </w:rPr>
        <w:t xml:space="preserve"> από το </w:t>
      </w:r>
      <w:r w:rsidR="00771491" w:rsidRPr="00282692">
        <w:rPr>
          <w:rFonts w:ascii="Times New Roman" w:hAnsi="Times New Roman" w:cs="Times New Roman"/>
          <w:sz w:val="24"/>
          <w:szCs w:val="24"/>
        </w:rPr>
        <w:t>Δικαστήριο</w:t>
      </w:r>
      <w:r w:rsidR="00876360" w:rsidRPr="00282692">
        <w:rPr>
          <w:rFonts w:ascii="Times New Roman" w:hAnsi="Times New Roman" w:cs="Times New Roman"/>
          <w:sz w:val="24"/>
          <w:szCs w:val="24"/>
        </w:rPr>
        <w:t xml:space="preserve"> στην ίδια υπόθεση</w:t>
      </w:r>
      <w:r w:rsidR="00771491" w:rsidRPr="00282692">
        <w:rPr>
          <w:rStyle w:val="FootnoteReference"/>
          <w:rFonts w:ascii="Times New Roman" w:hAnsi="Times New Roman" w:cs="Times New Roman"/>
          <w:sz w:val="24"/>
          <w:szCs w:val="24"/>
        </w:rPr>
        <w:footnoteReference w:id="175"/>
      </w:r>
      <w:r w:rsidR="00876360" w:rsidRPr="00282692">
        <w:rPr>
          <w:rFonts w:ascii="Times New Roman" w:hAnsi="Times New Roman" w:cs="Times New Roman"/>
          <w:sz w:val="24"/>
          <w:szCs w:val="24"/>
        </w:rPr>
        <w:t xml:space="preserve">. Πιο συγκεκριμένα, στην απόφασή του, το Δικαστήριο παρατήρησε ότι, προκειμένου να κριθεί ότι ένα σύστημα εκπτώσεων ή πριμοδοτήσεων έχει καταχρηστικό χαρακτήρα, «πρέπει, κατ’ αρχάς, να εξεταστεί αν οι εν λόγω εκπτώσεις ή πριμοδοτήσεις </w:t>
      </w:r>
      <w:r w:rsidR="00876360" w:rsidRPr="00DE5329">
        <w:rPr>
          <w:rFonts w:ascii="Times New Roman" w:hAnsi="Times New Roman" w:cs="Times New Roman"/>
          <w:b/>
          <w:sz w:val="24"/>
          <w:szCs w:val="24"/>
          <w:u w:val="single"/>
        </w:rPr>
        <w:t>μπορούν να αναπτύξουν αποτέλεσμα αποκλεισμού</w:t>
      </w:r>
      <w:r w:rsidR="00876360" w:rsidRPr="00282692">
        <w:rPr>
          <w:rFonts w:ascii="Times New Roman" w:hAnsi="Times New Roman" w:cs="Times New Roman"/>
          <w:sz w:val="24"/>
          <w:szCs w:val="24"/>
        </w:rPr>
        <w:t>»</w:t>
      </w:r>
      <w:r w:rsidR="00876360" w:rsidRPr="00282692">
        <w:rPr>
          <w:rStyle w:val="FootnoteReference"/>
          <w:rFonts w:ascii="Times New Roman" w:hAnsi="Times New Roman" w:cs="Times New Roman"/>
          <w:sz w:val="24"/>
          <w:szCs w:val="24"/>
        </w:rPr>
        <w:footnoteReference w:id="176"/>
      </w:r>
      <w:r w:rsidR="00876360" w:rsidRPr="00282692">
        <w:rPr>
          <w:rFonts w:ascii="Times New Roman" w:hAnsi="Times New Roman" w:cs="Times New Roman"/>
          <w:sz w:val="24"/>
          <w:szCs w:val="24"/>
        </w:rPr>
        <w:t>. Σε επόμενο στάδιο, «πρέπει να εξακριβωθεί αν υφίσταται αντικειμενική οικονομική δικαιολογία για τις χορηγηθείσες εκπτώσεις και πριμοδοτήσεις»</w:t>
      </w:r>
      <w:r w:rsidR="00876360" w:rsidRPr="00282692">
        <w:rPr>
          <w:rStyle w:val="FootnoteReference"/>
          <w:rFonts w:ascii="Times New Roman" w:hAnsi="Times New Roman" w:cs="Times New Roman"/>
          <w:sz w:val="24"/>
          <w:szCs w:val="24"/>
        </w:rPr>
        <w:footnoteReference w:id="177"/>
      </w:r>
      <w:r w:rsidR="00876360" w:rsidRPr="00282692">
        <w:rPr>
          <w:rFonts w:ascii="Times New Roman" w:hAnsi="Times New Roman" w:cs="Times New Roman"/>
          <w:sz w:val="24"/>
          <w:szCs w:val="24"/>
        </w:rPr>
        <w:t>. Στο πλαίσιο του επόμενου αυτού σταδίου, η δεσπόζουσα επιχείρηση δύναται να αποδείξει ότι το σύστημα πριμοδοτήσεων που εφαρμόζει και αναπτύσσει αποτέλεσμα αποκλεισμού, δικαιολογείται εντούτοις οικονομικώς</w:t>
      </w:r>
      <w:r w:rsidR="0059213D" w:rsidRPr="00282692">
        <w:rPr>
          <w:rStyle w:val="FootnoteReference"/>
          <w:rFonts w:ascii="Times New Roman" w:hAnsi="Times New Roman" w:cs="Times New Roman"/>
          <w:sz w:val="24"/>
          <w:szCs w:val="24"/>
        </w:rPr>
        <w:footnoteReference w:id="178"/>
      </w:r>
      <w:r w:rsidR="00876360" w:rsidRPr="00282692">
        <w:rPr>
          <w:rFonts w:ascii="Times New Roman" w:hAnsi="Times New Roman" w:cs="Times New Roman"/>
          <w:sz w:val="24"/>
          <w:szCs w:val="24"/>
        </w:rPr>
        <w:t>.</w:t>
      </w:r>
    </w:p>
    <w:p w:rsidR="00FE1F15" w:rsidRPr="00282692" w:rsidRDefault="0059213D"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Στην υπόθεση </w:t>
      </w:r>
      <w:r w:rsidRPr="00282692">
        <w:rPr>
          <w:rFonts w:ascii="Times New Roman" w:hAnsi="Times New Roman" w:cs="Times New Roman"/>
          <w:i/>
          <w:sz w:val="24"/>
          <w:szCs w:val="24"/>
          <w:lang w:val="en-US"/>
        </w:rPr>
        <w:t>BritishAirways</w:t>
      </w:r>
      <w:r w:rsidRPr="00282692">
        <w:rPr>
          <w:rFonts w:ascii="Times New Roman" w:hAnsi="Times New Roman" w:cs="Times New Roman"/>
          <w:sz w:val="24"/>
          <w:szCs w:val="24"/>
        </w:rPr>
        <w:t>, αμφότερα τα ενωσιακά δικαστήρια δέχθηκαν</w:t>
      </w:r>
      <w:r w:rsidR="00DB5506" w:rsidRPr="00282692">
        <w:rPr>
          <w:rFonts w:ascii="Times New Roman" w:hAnsi="Times New Roman" w:cs="Times New Roman"/>
          <w:sz w:val="24"/>
          <w:szCs w:val="24"/>
        </w:rPr>
        <w:t>, λοιπόν,</w:t>
      </w:r>
      <w:r w:rsidRPr="00282692">
        <w:rPr>
          <w:rFonts w:ascii="Times New Roman" w:hAnsi="Times New Roman" w:cs="Times New Roman"/>
          <w:sz w:val="24"/>
          <w:szCs w:val="24"/>
        </w:rPr>
        <w:t xml:space="preserve"> ότι </w:t>
      </w:r>
      <w:r w:rsidRPr="00DE5329">
        <w:rPr>
          <w:rFonts w:ascii="Times New Roman" w:hAnsi="Times New Roman" w:cs="Times New Roman"/>
          <w:b/>
          <w:sz w:val="24"/>
          <w:szCs w:val="24"/>
        </w:rPr>
        <w:t>ένα σύστημα εκπτώσεων που αναπτύσσει αντιανταγωνιστικά αποτελέσματα βάσει της προγενέστερης νομολο</w:t>
      </w:r>
      <w:r w:rsidR="00DB5506" w:rsidRPr="00DE5329">
        <w:rPr>
          <w:rFonts w:ascii="Times New Roman" w:hAnsi="Times New Roman" w:cs="Times New Roman"/>
          <w:b/>
          <w:sz w:val="24"/>
          <w:szCs w:val="24"/>
        </w:rPr>
        <w:t xml:space="preserve">γίας </w:t>
      </w:r>
      <w:r w:rsidR="00DB5506" w:rsidRPr="00DE5329">
        <w:rPr>
          <w:rFonts w:ascii="Times New Roman" w:hAnsi="Times New Roman" w:cs="Times New Roman"/>
          <w:b/>
          <w:sz w:val="24"/>
          <w:szCs w:val="24"/>
          <w:u w:val="single"/>
        </w:rPr>
        <w:t>μπορεί να δικαιολογείται από οικονομική άποψη</w:t>
      </w:r>
      <w:r w:rsidR="00DB5506" w:rsidRPr="00282692">
        <w:rPr>
          <w:rFonts w:ascii="Times New Roman" w:hAnsi="Times New Roman" w:cs="Times New Roman"/>
          <w:sz w:val="24"/>
          <w:szCs w:val="24"/>
        </w:rPr>
        <w:t xml:space="preserve">. Ωστόσο, </w:t>
      </w:r>
      <w:r w:rsidR="00760627" w:rsidRPr="00282692">
        <w:rPr>
          <w:rFonts w:ascii="Times New Roman" w:hAnsi="Times New Roman" w:cs="Times New Roman"/>
          <w:sz w:val="24"/>
          <w:szCs w:val="24"/>
        </w:rPr>
        <w:t xml:space="preserve">στη συγκεκριμένη υπόθεση το Γενικό Δικαστήριο έκρινε ότι δεν υπήρχε αιτιώδης συνάφεια μεταξύ των οικονομιών κλίμακας </w:t>
      </w:r>
      <w:r w:rsidR="00991574" w:rsidRPr="00282692">
        <w:rPr>
          <w:rFonts w:ascii="Times New Roman" w:hAnsi="Times New Roman" w:cs="Times New Roman"/>
          <w:sz w:val="24"/>
          <w:szCs w:val="24"/>
        </w:rPr>
        <w:t xml:space="preserve">που η δεσπόζουσα επιχείρηση επικαλούταν για να δικαιολογήσει το σύστημα ανταμοιβής επιδόσεων που εφάρμοζε και του συστήματος αυτού. Με βάση την κρίση αυτή, έγινε περαιτέρω δεκτό ότι </w:t>
      </w:r>
      <w:r w:rsidR="00760627" w:rsidRPr="00282692">
        <w:rPr>
          <w:rFonts w:ascii="Times New Roman" w:hAnsi="Times New Roman" w:cs="Times New Roman"/>
          <w:sz w:val="24"/>
          <w:szCs w:val="24"/>
        </w:rPr>
        <w:t>η δεσπόζουσα επιχείρηση δεν μπόρεσε να αιτιολογήσει ότι το εν λόγω σύστημα στηριζόταν σε οικονομικώς δικαιολογημένη αντιπαροχή</w:t>
      </w:r>
      <w:r w:rsidR="00760627" w:rsidRPr="00282692">
        <w:rPr>
          <w:rStyle w:val="FootnoteReference"/>
          <w:rFonts w:ascii="Times New Roman" w:hAnsi="Times New Roman" w:cs="Times New Roman"/>
          <w:sz w:val="24"/>
          <w:szCs w:val="24"/>
        </w:rPr>
        <w:footnoteReference w:id="179"/>
      </w:r>
      <w:r w:rsidR="00760627" w:rsidRPr="00282692">
        <w:rPr>
          <w:rFonts w:ascii="Times New Roman" w:hAnsi="Times New Roman" w:cs="Times New Roman"/>
          <w:sz w:val="24"/>
          <w:szCs w:val="24"/>
        </w:rPr>
        <w:t>.</w:t>
      </w:r>
    </w:p>
    <w:p w:rsidR="000540BC" w:rsidRPr="00282692" w:rsidRDefault="006B7C88"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Το ενδεχόμενο, ένα σύστημα εκπτώσεων υπέρ πιστών πελατών να είναι συμβατό με το άρθρο 102 ΣΛΕΕ επειδή στηρίζεται σε οικονομικά δικαιολογημένη αντιπαροχή, επιβεβαιώθηκε από το ΔΕΕ</w:t>
      </w:r>
      <w:r w:rsidR="00FA07B0" w:rsidRPr="00282692">
        <w:rPr>
          <w:rFonts w:ascii="Times New Roman" w:hAnsi="Times New Roman" w:cs="Times New Roman"/>
          <w:sz w:val="24"/>
          <w:szCs w:val="24"/>
        </w:rPr>
        <w:t xml:space="preserve"> στην υπόθεση</w:t>
      </w:r>
      <w:r w:rsidRPr="00282692">
        <w:rPr>
          <w:rFonts w:ascii="Times New Roman" w:hAnsi="Times New Roman" w:cs="Times New Roman"/>
          <w:i/>
          <w:sz w:val="24"/>
          <w:szCs w:val="24"/>
          <w:lang w:val="en-US"/>
        </w:rPr>
        <w:t>MichelinII</w:t>
      </w:r>
      <w:r w:rsidR="000111A4" w:rsidRPr="00282692">
        <w:rPr>
          <w:rFonts w:ascii="Times New Roman" w:hAnsi="Times New Roman" w:cs="Times New Roman"/>
          <w:i/>
          <w:sz w:val="24"/>
          <w:szCs w:val="24"/>
        </w:rPr>
        <w:t>.</w:t>
      </w:r>
    </w:p>
    <w:p w:rsidR="00034812" w:rsidRPr="00282692" w:rsidRDefault="000540BC"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Ειδικότερα, σ</w:t>
      </w:r>
      <w:r w:rsidR="00FA07B0" w:rsidRPr="00282692">
        <w:rPr>
          <w:rFonts w:ascii="Times New Roman" w:hAnsi="Times New Roman" w:cs="Times New Roman"/>
          <w:sz w:val="24"/>
          <w:szCs w:val="24"/>
        </w:rPr>
        <w:t>την απόφασή του</w:t>
      </w:r>
      <w:r w:rsidR="00F77EE6" w:rsidRPr="00282692">
        <w:rPr>
          <w:rStyle w:val="FootnoteReference"/>
          <w:rFonts w:ascii="Times New Roman" w:hAnsi="Times New Roman" w:cs="Times New Roman"/>
          <w:sz w:val="24"/>
          <w:szCs w:val="24"/>
        </w:rPr>
        <w:footnoteReference w:id="180"/>
      </w:r>
      <w:r w:rsidR="00FA07B0" w:rsidRPr="00282692">
        <w:rPr>
          <w:rFonts w:ascii="Times New Roman" w:hAnsi="Times New Roman" w:cs="Times New Roman"/>
          <w:sz w:val="24"/>
          <w:szCs w:val="24"/>
        </w:rPr>
        <w:t>, το Γενικό Δικαστήριο παρατήρησε καταρχάς ότι οι εκπτώσεις λόγω ποσότητας «θεωρείται ότι αντανακλούν τα κέρδη σε απόδοση και τις οικονομίες κλίμακος που πραγματοποίησε η κατέχουσα δεσπόζουσα θέση επιχείρηση» και για το λόγο αυτό θεωρείται ότι δεν συνεπάγονται, εν γένει, αποκλεισμό από την αγορά, υπό την προϋπόθεση ότι οι εν λόγω εκπτώσεις συναρτώνται αποκλειστικώς με τον όγκο των πραγματοποιούμενων αγορών σε επιχείρηση κατέχουσα δεσπόζουσα θέση</w:t>
      </w:r>
      <w:r w:rsidR="00034812" w:rsidRPr="00282692">
        <w:rPr>
          <w:rStyle w:val="FootnoteReference"/>
          <w:rFonts w:ascii="Times New Roman" w:hAnsi="Times New Roman" w:cs="Times New Roman"/>
          <w:sz w:val="24"/>
          <w:szCs w:val="24"/>
        </w:rPr>
        <w:footnoteReference w:id="181"/>
      </w:r>
      <w:r w:rsidR="00FA07B0" w:rsidRPr="00282692">
        <w:rPr>
          <w:rFonts w:ascii="Times New Roman" w:hAnsi="Times New Roman" w:cs="Times New Roman"/>
          <w:sz w:val="24"/>
          <w:szCs w:val="24"/>
        </w:rPr>
        <w:t>.</w:t>
      </w:r>
      <w:r w:rsidR="00034812" w:rsidRPr="00282692">
        <w:rPr>
          <w:rFonts w:ascii="Times New Roman" w:hAnsi="Times New Roman" w:cs="Times New Roman"/>
          <w:sz w:val="24"/>
          <w:szCs w:val="24"/>
        </w:rPr>
        <w:t xml:space="preserve"> Με βάση την παραδοχή αυτή, το Γενικό Δικαστήριο έκανε περαιτέρω δεκτό ότι ένα σύστημα εκπτώσεων δεν είναι καταχρηστικό υπό το πρίσμα του άρθρου 82 ΣυνθΕΚ (ήδη άρθρου 102 ΣΛΕΕ), «εκτός εάν προκύπτει από τα κριτήρια και τις λεπτομέρειες χορηγήσεως της εκπτώσεως ότι το σύστημα δεν στηρίζεται σε οικονομικώς δικαιολογημένη αντιπαροχή, αλλά τείνει, όπως η έκπτωση υπέρ πιστών πελατών και η έκπτωση επιτεύξεως στόχου, να εμποδίσει τονεφοδιασμό των πελατών από ανταγωνιστές παραγωγούς»</w:t>
      </w:r>
      <w:r w:rsidR="00034812" w:rsidRPr="00282692">
        <w:rPr>
          <w:rStyle w:val="FootnoteReference"/>
          <w:rFonts w:ascii="Times New Roman" w:hAnsi="Times New Roman" w:cs="Times New Roman"/>
          <w:sz w:val="24"/>
          <w:szCs w:val="24"/>
        </w:rPr>
        <w:footnoteReference w:id="182"/>
      </w:r>
      <w:r w:rsidR="00034812" w:rsidRPr="00282692">
        <w:rPr>
          <w:rFonts w:ascii="Times New Roman" w:hAnsi="Times New Roman" w:cs="Times New Roman"/>
          <w:sz w:val="24"/>
          <w:szCs w:val="24"/>
        </w:rPr>
        <w:t>.</w:t>
      </w:r>
    </w:p>
    <w:p w:rsidR="00D05D7A" w:rsidRPr="00282692" w:rsidRDefault="00034812"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Υπό το φως των </w:t>
      </w:r>
      <w:r w:rsidR="000540BC" w:rsidRPr="00282692">
        <w:rPr>
          <w:rFonts w:ascii="Times New Roman" w:hAnsi="Times New Roman" w:cs="Times New Roman"/>
          <w:sz w:val="24"/>
          <w:szCs w:val="24"/>
        </w:rPr>
        <w:t>παραδοχών</w:t>
      </w:r>
      <w:r w:rsidRPr="00282692">
        <w:rPr>
          <w:rFonts w:ascii="Times New Roman" w:hAnsi="Times New Roman" w:cs="Times New Roman"/>
          <w:sz w:val="24"/>
          <w:szCs w:val="24"/>
        </w:rPr>
        <w:t xml:space="preserve"> αυτών, το Γενικό Δικαστήριο κατέληξε σε μια εξομοίωση των συστημάτων εκπτώσεων υπέρ πιστών πελατών και </w:t>
      </w:r>
      <w:r w:rsidR="000540BC" w:rsidRPr="00282692">
        <w:rPr>
          <w:rFonts w:ascii="Times New Roman" w:hAnsi="Times New Roman" w:cs="Times New Roman"/>
          <w:sz w:val="24"/>
          <w:szCs w:val="24"/>
        </w:rPr>
        <w:t xml:space="preserve">των συστημάτων εκπτώσεων στόχου, διαπιστώνοντας ότι «το σύστημα εκπτώσεων βάσει ποσότητας, </w:t>
      </w:r>
      <w:r w:rsidR="000540BC" w:rsidRPr="00282692">
        <w:rPr>
          <w:rFonts w:ascii="Times New Roman" w:hAnsi="Times New Roman" w:cs="Times New Roman"/>
          <w:sz w:val="24"/>
          <w:szCs w:val="24"/>
        </w:rPr>
        <w:lastRenderedPageBreak/>
        <w:t>το οποίο περιλαμβάνει σημαντική διακύμανση στα ποσοστά εκπτώσεων μεταξύ των ανώτερων και των κατώτερων βαθμίδων, χαρακτηρίζεται δε από περίοδο αναφοράς ενός έτους και καθορισμό της εκπτώσεως βάσει του συνολικού κύκλου εργασιών που πραγματοποιήθηκε κατά τη διάρκεια της περιόδου αναφοράς, παρουσιάζει τα χαρακτηριστικά συστήματος εκπτώσεων που δημιουργεί κύκλο πιστών πελατών.»</w:t>
      </w:r>
      <w:r w:rsidR="000540BC" w:rsidRPr="00282692">
        <w:rPr>
          <w:rStyle w:val="FootnoteReference"/>
          <w:rFonts w:ascii="Times New Roman" w:hAnsi="Times New Roman" w:cs="Times New Roman"/>
          <w:sz w:val="24"/>
          <w:szCs w:val="24"/>
        </w:rPr>
        <w:footnoteReference w:id="183"/>
      </w:r>
      <w:r w:rsidR="000540BC" w:rsidRPr="00282692">
        <w:rPr>
          <w:rFonts w:ascii="Times New Roman" w:hAnsi="Times New Roman" w:cs="Times New Roman"/>
          <w:sz w:val="24"/>
          <w:szCs w:val="24"/>
        </w:rPr>
        <w:t xml:space="preserve"> Περαιτέρω, όπως στην απόφασή του στην υπόθεση </w:t>
      </w:r>
      <w:r w:rsidR="000540BC" w:rsidRPr="00744E91">
        <w:rPr>
          <w:rFonts w:ascii="Times New Roman" w:hAnsi="Times New Roman" w:cs="Times New Roman"/>
          <w:i/>
          <w:sz w:val="24"/>
          <w:szCs w:val="24"/>
          <w:lang w:val="en-US"/>
        </w:rPr>
        <w:t>BritishAirways</w:t>
      </w:r>
      <w:r w:rsidR="000540BC" w:rsidRPr="00282692">
        <w:rPr>
          <w:rFonts w:ascii="Times New Roman" w:hAnsi="Times New Roman" w:cs="Times New Roman"/>
          <w:sz w:val="24"/>
          <w:szCs w:val="24"/>
        </w:rPr>
        <w:t xml:space="preserve">, και στην απόφαση </w:t>
      </w:r>
      <w:r w:rsidR="000540BC" w:rsidRPr="00744E91">
        <w:rPr>
          <w:rFonts w:ascii="Times New Roman" w:hAnsi="Times New Roman" w:cs="Times New Roman"/>
          <w:i/>
          <w:sz w:val="24"/>
          <w:szCs w:val="24"/>
          <w:lang w:val="en-US"/>
        </w:rPr>
        <w:t>MichelinII</w:t>
      </w:r>
      <w:r w:rsidR="000540BC" w:rsidRPr="00282692">
        <w:rPr>
          <w:rFonts w:ascii="Times New Roman" w:hAnsi="Times New Roman" w:cs="Times New Roman"/>
          <w:sz w:val="24"/>
          <w:szCs w:val="24"/>
        </w:rPr>
        <w:t xml:space="preserve"> το Γενικό Δικαστήριο αναγνώρισε το ενδεχόμενο, το σύστημα εκπτώσεων στόχου να στηρίζεται σε οικονομικά δικαιολογημένη αντιπαροχή και για το</w:t>
      </w:r>
      <w:r w:rsidR="00621643">
        <w:rPr>
          <w:rFonts w:ascii="Times New Roman" w:hAnsi="Times New Roman" w:cs="Times New Roman"/>
          <w:sz w:val="24"/>
          <w:szCs w:val="24"/>
        </w:rPr>
        <w:t>ν</w:t>
      </w:r>
      <w:r w:rsidR="000540BC" w:rsidRPr="00282692">
        <w:rPr>
          <w:rFonts w:ascii="Times New Roman" w:hAnsi="Times New Roman" w:cs="Times New Roman"/>
          <w:sz w:val="24"/>
          <w:szCs w:val="24"/>
        </w:rPr>
        <w:t xml:space="preserve"> λόγο αυτό να κρίνεται νόμιμο υπό το πρίσμα του άρθρου 102 ΣΛΕΕ. Ωστόσο, και στην απόφαση </w:t>
      </w:r>
      <w:r w:rsidR="000540BC" w:rsidRPr="00282692">
        <w:rPr>
          <w:rFonts w:ascii="Times New Roman" w:hAnsi="Times New Roman" w:cs="Times New Roman"/>
          <w:i/>
          <w:sz w:val="24"/>
          <w:szCs w:val="24"/>
          <w:lang w:val="en-US"/>
        </w:rPr>
        <w:t>MichelinII</w:t>
      </w:r>
      <w:r w:rsidR="000540BC" w:rsidRPr="00282692">
        <w:rPr>
          <w:rFonts w:ascii="Times New Roman" w:hAnsi="Times New Roman" w:cs="Times New Roman"/>
          <w:sz w:val="24"/>
          <w:szCs w:val="24"/>
        </w:rPr>
        <w:t xml:space="preserve">, το Γενικό Δικαστήριο απέρριψε όλα τα επιχειρήματα που προβλήθηκαν </w:t>
      </w:r>
      <w:r w:rsidR="00D01FEB" w:rsidRPr="00282692">
        <w:rPr>
          <w:rFonts w:ascii="Times New Roman" w:hAnsi="Times New Roman" w:cs="Times New Roman"/>
          <w:sz w:val="24"/>
          <w:szCs w:val="24"/>
        </w:rPr>
        <w:t>για να θεμελιωθεί ότι το επίμαχο σύστημα εκπτώσεων στόχου βασιζόταν σε οικονομικά δικαιολογημένη αντιπαροχή, κυρίως γιατί τα επιχειρήματα αυτά</w:t>
      </w:r>
      <w:r w:rsidR="00D34F2C" w:rsidRPr="00282692">
        <w:rPr>
          <w:rFonts w:ascii="Times New Roman" w:hAnsi="Times New Roman" w:cs="Times New Roman"/>
          <w:sz w:val="24"/>
          <w:szCs w:val="24"/>
        </w:rPr>
        <w:t xml:space="preserve"> αφενός</w:t>
      </w:r>
      <w:r w:rsidR="00D01FEB" w:rsidRPr="00282692">
        <w:rPr>
          <w:rFonts w:ascii="Times New Roman" w:hAnsi="Times New Roman" w:cs="Times New Roman"/>
          <w:sz w:val="24"/>
          <w:szCs w:val="24"/>
        </w:rPr>
        <w:t xml:space="preserve"> δεν αναιρούσαν το αποτέλεσμα της δημιουργίας κύκλου πιστών πελατών </w:t>
      </w:r>
      <w:r w:rsidR="00D34F2C" w:rsidRPr="00282692">
        <w:rPr>
          <w:rFonts w:ascii="Times New Roman" w:hAnsi="Times New Roman" w:cs="Times New Roman"/>
          <w:sz w:val="24"/>
          <w:szCs w:val="24"/>
        </w:rPr>
        <w:t>και αφετέρου γιατί από τα επιχειρήματα αυτά δεν προέκυπτε κάποιο πλεονέκτημα που θα μπορούσε να αντισταθμίσει το προαναφερθέν αποτέλεσμα</w:t>
      </w:r>
      <w:r w:rsidR="00D34F2C" w:rsidRPr="00282692">
        <w:rPr>
          <w:rStyle w:val="FootnoteReference"/>
          <w:rFonts w:ascii="Times New Roman" w:hAnsi="Times New Roman" w:cs="Times New Roman"/>
          <w:sz w:val="24"/>
          <w:szCs w:val="24"/>
        </w:rPr>
        <w:footnoteReference w:id="184"/>
      </w:r>
      <w:r w:rsidR="00D34F2C" w:rsidRPr="00282692">
        <w:rPr>
          <w:rFonts w:ascii="Times New Roman" w:hAnsi="Times New Roman" w:cs="Times New Roman"/>
          <w:sz w:val="24"/>
          <w:szCs w:val="24"/>
        </w:rPr>
        <w:t>.</w:t>
      </w:r>
    </w:p>
    <w:p w:rsidR="00A93398" w:rsidRPr="00282692" w:rsidRDefault="00D05D7A"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Βάσει των αρχών που θεσπίζουν οι αποφάσεις </w:t>
      </w:r>
      <w:r w:rsidRPr="00282692">
        <w:rPr>
          <w:rFonts w:ascii="Times New Roman" w:hAnsi="Times New Roman" w:cs="Times New Roman"/>
          <w:i/>
          <w:sz w:val="24"/>
          <w:szCs w:val="24"/>
          <w:lang w:val="en-US"/>
        </w:rPr>
        <w:t>BritishAirways</w:t>
      </w:r>
      <w:r w:rsidRPr="00282692">
        <w:rPr>
          <w:rFonts w:ascii="Times New Roman" w:hAnsi="Times New Roman" w:cs="Times New Roman"/>
          <w:sz w:val="24"/>
          <w:szCs w:val="24"/>
        </w:rPr>
        <w:t xml:space="preserve"> και </w:t>
      </w:r>
      <w:r w:rsidRPr="00282692">
        <w:rPr>
          <w:rFonts w:ascii="Times New Roman" w:hAnsi="Times New Roman" w:cs="Times New Roman"/>
          <w:i/>
          <w:sz w:val="24"/>
          <w:szCs w:val="24"/>
          <w:lang w:val="en-US"/>
        </w:rPr>
        <w:t>MichelinII</w:t>
      </w:r>
      <w:r w:rsidRPr="00282692">
        <w:rPr>
          <w:rFonts w:ascii="Times New Roman" w:hAnsi="Times New Roman" w:cs="Times New Roman"/>
          <w:sz w:val="24"/>
          <w:szCs w:val="24"/>
        </w:rPr>
        <w:t xml:space="preserve">, ένα σύστημα εκπτώσεων υπέρ πιστών πελατών και ένα σύστημα εκπτώσεων στόχου που αποβλέπει στη δημιουργία ενός κύκλου πιστών πελατών μπορεί θεωρητικά να κριθεί νόμιμο υπό το πρίσμα του άρθρου 102 ΣΛΕΕ με το επιχείρημα ότι το εν λόγω σύστημα στηρίζεται σε οικονομικά δικαιολογημένη αντιπαροχή. Ωστόσο, </w:t>
      </w:r>
      <w:r w:rsidR="006A45F9" w:rsidRPr="00282692">
        <w:rPr>
          <w:rFonts w:ascii="Times New Roman" w:hAnsi="Times New Roman" w:cs="Times New Roman"/>
          <w:sz w:val="24"/>
          <w:szCs w:val="24"/>
        </w:rPr>
        <w:t xml:space="preserve">η εξοικονόμηση δαπανών και οι οικονομίες κλίμακας που ενδέχεται να παράγονται από ένα τέτοιο σύστημα δεν έχουν μέχρι σήμερα γίνει αποδεκτές ως «αντιπαροχές» που δικαιολογούν από οικονομική άποψη τέτοια συστήματα εκπτώσεων. </w:t>
      </w:r>
      <w:r w:rsidR="00C21A0B" w:rsidRPr="00282692">
        <w:rPr>
          <w:rFonts w:ascii="Times New Roman" w:hAnsi="Times New Roman" w:cs="Times New Roman"/>
          <w:sz w:val="24"/>
          <w:szCs w:val="24"/>
        </w:rPr>
        <w:t xml:space="preserve">Δηλαδή, σύμφωνα με την ενωσιακή νομολογία, η εξοικονόμηση δαπανών και οι οικονομίες κλίμακας που ενδέχεται να παράγονται από ένα σύστημα εκπτώσεων υπέρ πιστών πελατών ή από ένα σύστημα εκπτώσεων στόχου δεν φαίνεται να μπορούν να αντισταθμίσουν το αντιανταγωνιστικό αποτέλεσμα που συνεπάγεται το εν λόγω σύστημα. Έτσι, τα εν λόγω συστήματα μπορούν να θεωρηθούν πρακτικά ως </w:t>
      </w:r>
      <w:r w:rsidR="00C21A0B" w:rsidRPr="00282692">
        <w:rPr>
          <w:rFonts w:ascii="Times New Roman" w:hAnsi="Times New Roman" w:cs="Times New Roman"/>
          <w:sz w:val="24"/>
          <w:szCs w:val="24"/>
          <w:lang w:val="en-US"/>
        </w:rPr>
        <w:t>perse</w:t>
      </w:r>
      <w:r w:rsidR="00C21A0B" w:rsidRPr="00282692">
        <w:rPr>
          <w:rFonts w:ascii="Times New Roman" w:hAnsi="Times New Roman" w:cs="Times New Roman"/>
          <w:sz w:val="24"/>
          <w:szCs w:val="24"/>
        </w:rPr>
        <w:t xml:space="preserve"> παραβάσεις του άρθρου 102 ΣΛΕΕ.</w:t>
      </w:r>
    </w:p>
    <w:p w:rsidR="007200A5" w:rsidRPr="00282692" w:rsidRDefault="00E04E45"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Οι θέσεις που διατυπώνονται</w:t>
      </w:r>
      <w:r w:rsidR="00F7689B" w:rsidRPr="00282692">
        <w:rPr>
          <w:rFonts w:ascii="Times New Roman" w:hAnsi="Times New Roman" w:cs="Times New Roman"/>
          <w:sz w:val="24"/>
          <w:szCs w:val="24"/>
        </w:rPr>
        <w:t xml:space="preserve"> στις αποφάσεις </w:t>
      </w:r>
      <w:proofErr w:type="spellStart"/>
      <w:r w:rsidR="00DC2CE8" w:rsidRPr="00282692">
        <w:rPr>
          <w:rFonts w:ascii="Times New Roman" w:hAnsi="Times New Roman" w:cs="Times New Roman"/>
          <w:i/>
          <w:sz w:val="24"/>
          <w:szCs w:val="24"/>
          <w:lang w:val="en-US"/>
        </w:rPr>
        <w:t>BritishAirways</w:t>
      </w:r>
      <w:proofErr w:type="spellEnd"/>
      <w:r w:rsidR="00DC2CE8" w:rsidRPr="00282692">
        <w:rPr>
          <w:rFonts w:ascii="Times New Roman" w:hAnsi="Times New Roman" w:cs="Times New Roman"/>
          <w:sz w:val="24"/>
          <w:szCs w:val="24"/>
        </w:rPr>
        <w:t xml:space="preserve"> και </w:t>
      </w:r>
      <w:proofErr w:type="spellStart"/>
      <w:r w:rsidR="00DC2CE8" w:rsidRPr="00282692">
        <w:rPr>
          <w:rFonts w:ascii="Times New Roman" w:hAnsi="Times New Roman" w:cs="Times New Roman"/>
          <w:i/>
          <w:sz w:val="24"/>
          <w:szCs w:val="24"/>
          <w:lang w:val="en-US"/>
        </w:rPr>
        <w:t>MichelinII</w:t>
      </w:r>
      <w:proofErr w:type="spellEnd"/>
      <w:r w:rsidR="00DC2CE8" w:rsidRPr="00282692">
        <w:rPr>
          <w:rFonts w:ascii="Times New Roman" w:hAnsi="Times New Roman" w:cs="Times New Roman"/>
          <w:sz w:val="24"/>
          <w:szCs w:val="24"/>
        </w:rPr>
        <w:t xml:space="preserve"> σε σχέση με τα συστήματα εκπτώσεων υπέρ πιστών πελατών και τα συστήματα εκπτώ</w:t>
      </w:r>
      <w:r w:rsidRPr="00282692">
        <w:rPr>
          <w:rFonts w:ascii="Times New Roman" w:hAnsi="Times New Roman" w:cs="Times New Roman"/>
          <w:sz w:val="24"/>
          <w:szCs w:val="24"/>
        </w:rPr>
        <w:t xml:space="preserve">σεων στόχου επιβεβαιώνονται σε μεταγενέστερες αποφάσεις του ΔΕΕ και συγκεκριμένα στις αποφάσεις του επί των υποθέσεων </w:t>
      </w:r>
      <w:proofErr w:type="spellStart"/>
      <w:r w:rsidR="00501BE3" w:rsidRPr="00282692">
        <w:rPr>
          <w:rFonts w:ascii="Times New Roman" w:hAnsi="Times New Roman" w:cs="Times New Roman"/>
          <w:i/>
          <w:sz w:val="24"/>
          <w:szCs w:val="24"/>
          <w:lang w:val="en-US"/>
        </w:rPr>
        <w:t>Tomra</w:t>
      </w:r>
      <w:proofErr w:type="spellEnd"/>
      <w:r w:rsidR="00501BE3" w:rsidRPr="00282692">
        <w:rPr>
          <w:rFonts w:ascii="Times New Roman" w:hAnsi="Times New Roman" w:cs="Times New Roman"/>
          <w:sz w:val="24"/>
          <w:szCs w:val="24"/>
        </w:rPr>
        <w:t xml:space="preserve"> και </w:t>
      </w:r>
      <w:r w:rsidR="00501BE3" w:rsidRPr="00282692">
        <w:rPr>
          <w:rFonts w:ascii="Times New Roman" w:hAnsi="Times New Roman" w:cs="Times New Roman"/>
          <w:i/>
          <w:sz w:val="24"/>
          <w:szCs w:val="24"/>
          <w:lang w:val="en-US"/>
        </w:rPr>
        <w:t>Intel</w:t>
      </w:r>
      <w:r w:rsidR="00501BE3" w:rsidRPr="00282692">
        <w:rPr>
          <w:rFonts w:ascii="Times New Roman" w:hAnsi="Times New Roman" w:cs="Times New Roman"/>
          <w:sz w:val="24"/>
          <w:szCs w:val="24"/>
        </w:rPr>
        <w:t xml:space="preserve">. </w:t>
      </w:r>
    </w:p>
    <w:p w:rsidR="007200A5" w:rsidRPr="00282692" w:rsidRDefault="00501BE3"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Ειδικότερα, </w:t>
      </w:r>
      <w:r w:rsidR="00200FA8" w:rsidRPr="00282692">
        <w:rPr>
          <w:rFonts w:ascii="Times New Roman" w:hAnsi="Times New Roman" w:cs="Times New Roman"/>
          <w:sz w:val="24"/>
          <w:szCs w:val="24"/>
        </w:rPr>
        <w:t>στην υπόθεση</w:t>
      </w:r>
      <w:proofErr w:type="spellStart"/>
      <w:r w:rsidR="00DC2CE8" w:rsidRPr="00282692">
        <w:rPr>
          <w:rFonts w:ascii="Times New Roman" w:hAnsi="Times New Roman" w:cs="Times New Roman"/>
          <w:i/>
          <w:sz w:val="24"/>
          <w:szCs w:val="24"/>
          <w:lang w:val="en-US"/>
        </w:rPr>
        <w:t>Tomra</w:t>
      </w:r>
      <w:proofErr w:type="spellEnd"/>
      <w:r w:rsidR="00DC2CE8" w:rsidRPr="00282692">
        <w:rPr>
          <w:rFonts w:ascii="Times New Roman" w:hAnsi="Times New Roman" w:cs="Times New Roman"/>
          <w:sz w:val="24"/>
          <w:szCs w:val="24"/>
        </w:rPr>
        <w:t xml:space="preserve">, </w:t>
      </w:r>
      <w:r w:rsidRPr="00282692">
        <w:rPr>
          <w:rFonts w:ascii="Times New Roman" w:hAnsi="Times New Roman" w:cs="Times New Roman"/>
          <w:sz w:val="24"/>
          <w:szCs w:val="24"/>
        </w:rPr>
        <w:t>ηδεσπόζουσα επιχείρηση</w:t>
      </w:r>
      <w:r w:rsidR="00E04E45" w:rsidRPr="00282692">
        <w:rPr>
          <w:rFonts w:ascii="Times New Roman" w:hAnsi="Times New Roman" w:cs="Times New Roman"/>
          <w:sz w:val="24"/>
          <w:szCs w:val="24"/>
        </w:rPr>
        <w:t xml:space="preserve">, επιδιώκοντας να αντικρούσει τη μομφή της Επιτροπής ότι τα συστήματα εκπτώσεων υπέρ πιστών πελατών που εφάρμοζε δεν συνεπάγονταν αποτέλεσμα αποκλεισμού των ανταγωνιστών στην αγορά υποστήριξε </w:t>
      </w:r>
      <w:r w:rsidRPr="00282692">
        <w:rPr>
          <w:rFonts w:ascii="Times New Roman" w:hAnsi="Times New Roman" w:cs="Times New Roman"/>
          <w:sz w:val="24"/>
          <w:szCs w:val="24"/>
        </w:rPr>
        <w:t xml:space="preserve">ότι, παρά την εφαρμογή των εν λόγω συστημάτων, </w:t>
      </w:r>
      <w:r w:rsidR="006239FD" w:rsidRPr="00282692">
        <w:rPr>
          <w:rFonts w:ascii="Times New Roman" w:hAnsi="Times New Roman" w:cs="Times New Roman"/>
          <w:sz w:val="24"/>
          <w:szCs w:val="24"/>
        </w:rPr>
        <w:t xml:space="preserve">ήταν αδύνατο για την εν λόγω επιχείρηση να υπολογίσει επακριβώς την εκ μέρους κάθε πελάτη ζήτηση για τα προϊόντα της. Το Γενικό Δικαστήριο </w:t>
      </w:r>
      <w:r w:rsidR="003F1C54" w:rsidRPr="00282692">
        <w:rPr>
          <w:rFonts w:ascii="Times New Roman" w:hAnsi="Times New Roman" w:cs="Times New Roman"/>
          <w:sz w:val="24"/>
          <w:szCs w:val="24"/>
        </w:rPr>
        <w:t>δεν συμφώνησε, ωστόσο, με την επιχειρηματολογία της δεσπόζουσας επιχείρησης και έκρινε ότι η ζήτηση για τα προϊόντα της δεσπόζουσας επιχείρησης μπορούσε να προβλεφθεί</w:t>
      </w:r>
      <w:r w:rsidR="0096046E" w:rsidRPr="00282692">
        <w:rPr>
          <w:rFonts w:ascii="Times New Roman" w:hAnsi="Times New Roman" w:cs="Times New Roman"/>
          <w:sz w:val="24"/>
          <w:szCs w:val="24"/>
        </w:rPr>
        <w:t xml:space="preserve"> σε σημαντικό βαθμό</w:t>
      </w:r>
      <w:r w:rsidR="003F1C54" w:rsidRPr="00282692">
        <w:rPr>
          <w:rFonts w:ascii="Times New Roman" w:hAnsi="Times New Roman" w:cs="Times New Roman"/>
          <w:sz w:val="24"/>
          <w:szCs w:val="24"/>
        </w:rPr>
        <w:t>. Το συμπέρασμα αυτό στηρίχτηκε σε οικονομικής φύσης παρατηρήσεις, και συγκεκριμένα</w:t>
      </w:r>
      <w:r w:rsidR="00321670" w:rsidRPr="00282692">
        <w:rPr>
          <w:rFonts w:ascii="Times New Roman" w:hAnsi="Times New Roman" w:cs="Times New Roman"/>
          <w:sz w:val="24"/>
          <w:szCs w:val="24"/>
        </w:rPr>
        <w:t xml:space="preserve"> στις παρατηρήσεις ότι </w:t>
      </w:r>
      <w:r w:rsidR="003F1C54" w:rsidRPr="00282692">
        <w:rPr>
          <w:rFonts w:ascii="Times New Roman" w:hAnsi="Times New Roman" w:cs="Times New Roman"/>
          <w:sz w:val="24"/>
          <w:szCs w:val="24"/>
        </w:rPr>
        <w:t>«ο πελάτης έδιδε ενίοτε πρόβλεψη της μέλλουσας ζητήσεώς του»</w:t>
      </w:r>
      <w:r w:rsidR="003F1C54" w:rsidRPr="00282692">
        <w:rPr>
          <w:rStyle w:val="FootnoteReference"/>
          <w:rFonts w:ascii="Times New Roman" w:hAnsi="Times New Roman" w:cs="Times New Roman"/>
          <w:sz w:val="24"/>
          <w:szCs w:val="24"/>
        </w:rPr>
        <w:footnoteReference w:id="185"/>
      </w:r>
      <w:r w:rsidR="003F1C54" w:rsidRPr="00282692">
        <w:rPr>
          <w:rFonts w:ascii="Times New Roman" w:hAnsi="Times New Roman" w:cs="Times New Roman"/>
          <w:sz w:val="24"/>
          <w:szCs w:val="24"/>
        </w:rPr>
        <w:t>, ότι «η εκ μέρους κάθε πελάτη ζήτηση ήταν σχετικά εύκολο να προβλεφθεί» λόγω της επαρκούς πληροφόρησης που διέθετε η</w:t>
      </w:r>
      <w:r w:rsidR="00321670" w:rsidRPr="00282692">
        <w:rPr>
          <w:rFonts w:ascii="Times New Roman" w:hAnsi="Times New Roman" w:cs="Times New Roman"/>
          <w:sz w:val="24"/>
          <w:szCs w:val="24"/>
        </w:rPr>
        <w:t xml:space="preserve"> δεσπόζουσα επιχείρηση</w:t>
      </w:r>
      <w:r w:rsidR="00321670" w:rsidRPr="00282692">
        <w:rPr>
          <w:rStyle w:val="FootnoteReference"/>
          <w:rFonts w:ascii="Times New Roman" w:hAnsi="Times New Roman" w:cs="Times New Roman"/>
          <w:sz w:val="24"/>
          <w:szCs w:val="24"/>
        </w:rPr>
        <w:footnoteReference w:id="186"/>
      </w:r>
      <w:r w:rsidR="00321670" w:rsidRPr="00282692">
        <w:rPr>
          <w:rFonts w:ascii="Times New Roman" w:hAnsi="Times New Roman" w:cs="Times New Roman"/>
          <w:sz w:val="24"/>
          <w:szCs w:val="24"/>
        </w:rPr>
        <w:t xml:space="preserve">, ότι μια ζήτηση που είναι «μη </w:t>
      </w:r>
      <w:r w:rsidR="00321670" w:rsidRPr="00282692">
        <w:rPr>
          <w:rFonts w:ascii="Times New Roman" w:hAnsi="Times New Roman" w:cs="Times New Roman"/>
          <w:sz w:val="24"/>
          <w:szCs w:val="24"/>
        </w:rPr>
        <w:lastRenderedPageBreak/>
        <w:t>επαναλαμβανόμενη» και «κυμαινόμενη» μπορεί παρά ταύτα να είναι εύκολα προβλέψιμη</w:t>
      </w:r>
      <w:r w:rsidR="00321670" w:rsidRPr="00282692">
        <w:rPr>
          <w:rStyle w:val="FootnoteReference"/>
          <w:rFonts w:ascii="Times New Roman" w:hAnsi="Times New Roman" w:cs="Times New Roman"/>
          <w:sz w:val="24"/>
          <w:szCs w:val="24"/>
        </w:rPr>
        <w:footnoteReference w:id="187"/>
      </w:r>
      <w:r w:rsidR="00321670" w:rsidRPr="00282692">
        <w:rPr>
          <w:rFonts w:ascii="Times New Roman" w:hAnsi="Times New Roman" w:cs="Times New Roman"/>
          <w:sz w:val="24"/>
          <w:szCs w:val="24"/>
        </w:rPr>
        <w:t xml:space="preserve"> και ότι «τα προβλεπόμενα από τις συμφωνίες όρια αγορώναντιπροσώπευαν τουλάχιστον μια</w:t>
      </w:r>
      <w:r w:rsidR="0059642A" w:rsidRPr="00282692">
        <w:rPr>
          <w:rFonts w:ascii="Times New Roman" w:hAnsi="Times New Roman" w:cs="Times New Roman"/>
          <w:sz w:val="24"/>
          <w:szCs w:val="24"/>
        </w:rPr>
        <w:t xml:space="preserve"> αξία περιλαμβανόμενη μεταξύ 75% και 80</w:t>
      </w:r>
      <w:r w:rsidR="00321670" w:rsidRPr="00282692">
        <w:rPr>
          <w:rFonts w:ascii="Times New Roman" w:hAnsi="Times New Roman" w:cs="Times New Roman"/>
          <w:sz w:val="24"/>
          <w:szCs w:val="24"/>
        </w:rPr>
        <w:t>% της συνολικής ζητήσεώς του πελάτη»</w:t>
      </w:r>
      <w:r w:rsidR="00321670" w:rsidRPr="00282692">
        <w:rPr>
          <w:rStyle w:val="FootnoteReference"/>
          <w:rFonts w:ascii="Times New Roman" w:hAnsi="Times New Roman" w:cs="Times New Roman"/>
          <w:sz w:val="24"/>
          <w:szCs w:val="24"/>
        </w:rPr>
        <w:footnoteReference w:id="188"/>
      </w:r>
      <w:r w:rsidR="00321670" w:rsidRPr="00282692">
        <w:rPr>
          <w:rFonts w:ascii="Times New Roman" w:hAnsi="Times New Roman" w:cs="Times New Roman"/>
          <w:sz w:val="24"/>
          <w:szCs w:val="24"/>
        </w:rPr>
        <w:t>.</w:t>
      </w:r>
      <w:r w:rsidR="0096046E" w:rsidRPr="00282692">
        <w:rPr>
          <w:rFonts w:ascii="Times New Roman" w:hAnsi="Times New Roman" w:cs="Times New Roman"/>
          <w:sz w:val="24"/>
          <w:szCs w:val="24"/>
        </w:rPr>
        <w:t>Επιπλέον, όπως παρατηρείται σε επόμενο σημείο της απόφασης του Γενικού Δικαστηρίου, «είναι εγγενές προς κάθε έντονα δεσπόζουσα θέση, όπως αυτή των προσφευγουσών, ότι δεν υπάρχει κατάλληλο υποκατάστατο προϊόν έναντι αυτού που πωλεί η επιχείρηση που κατέχει την εν λόγω δεσπόζουσα θέση για σημαντικό μέρος της ζητήσεως. Επομένως, ο προμηθευτής με δεσπόζουσα θέση είναι σε μεγάλο βαθμό ένας εμπορικός εταίρος στον οποίο υποχρεωτικά θα απευθύνονται οι πελάτες ... Επομένως, υπό τις συνθήκες αυτές, η προσβαλλόμενη απόφαση ορθώς εκθέτει ότι οι πελάτες απευθύνονταν σε άλλους προμηθευτές μόνο για περιορισμένο μέρος των αγορών τους.»</w:t>
      </w:r>
      <w:r w:rsidR="0096046E" w:rsidRPr="00282692">
        <w:rPr>
          <w:rStyle w:val="FootnoteReference"/>
          <w:rFonts w:ascii="Times New Roman" w:hAnsi="Times New Roman" w:cs="Times New Roman"/>
          <w:sz w:val="24"/>
          <w:szCs w:val="24"/>
        </w:rPr>
        <w:footnoteReference w:id="189"/>
      </w:r>
      <w:r w:rsidR="00412ACE" w:rsidRPr="00282692">
        <w:rPr>
          <w:rFonts w:ascii="Times New Roman" w:hAnsi="Times New Roman" w:cs="Times New Roman"/>
          <w:sz w:val="24"/>
          <w:szCs w:val="24"/>
        </w:rPr>
        <w:t xml:space="preserve">Τέλος, όπως διευκρίνισε το Γενικό Δικαστήριο, το άρθρο 102 ΣΛΕΕ απαγορεύει την εφαρμογή </w:t>
      </w:r>
      <w:r w:rsidR="006672CB" w:rsidRPr="00282692">
        <w:rPr>
          <w:rFonts w:ascii="Times New Roman" w:hAnsi="Times New Roman" w:cs="Times New Roman"/>
          <w:sz w:val="24"/>
          <w:szCs w:val="24"/>
        </w:rPr>
        <w:t>συστήματος</w:t>
      </w:r>
      <w:r w:rsidR="00412ACE" w:rsidRPr="00282692">
        <w:rPr>
          <w:rFonts w:ascii="Times New Roman" w:hAnsi="Times New Roman" w:cs="Times New Roman"/>
          <w:sz w:val="24"/>
          <w:szCs w:val="24"/>
        </w:rPr>
        <w:t xml:space="preserve"> εκπτώσεως υπέρ πιστών πελατών χωρίς να είναι απαραίτητο να </w:t>
      </w:r>
      <w:r w:rsidR="004953C5" w:rsidRPr="00282692">
        <w:rPr>
          <w:rFonts w:ascii="Times New Roman" w:hAnsi="Times New Roman" w:cs="Times New Roman"/>
          <w:sz w:val="24"/>
          <w:szCs w:val="24"/>
        </w:rPr>
        <w:t>διαπιστώνεται ότι έχει οριστεί</w:t>
      </w:r>
      <w:r w:rsidR="006672CB" w:rsidRPr="00282692">
        <w:rPr>
          <w:rFonts w:ascii="Times New Roman" w:hAnsi="Times New Roman" w:cs="Times New Roman"/>
          <w:sz w:val="24"/>
          <w:szCs w:val="24"/>
        </w:rPr>
        <w:t xml:space="preserve"> συγκεκριμένο όριο αποκλεισμού των ανταγωνιστών από την αγοράστη σύμβαση στην οποία περιέχονται οι όροι που θεσπίζουν το εν λόγω σύστημα</w:t>
      </w:r>
      <w:r w:rsidR="006672CB" w:rsidRPr="00282692">
        <w:rPr>
          <w:rStyle w:val="FootnoteReference"/>
          <w:rFonts w:ascii="Times New Roman" w:hAnsi="Times New Roman" w:cs="Times New Roman"/>
          <w:sz w:val="24"/>
          <w:szCs w:val="24"/>
        </w:rPr>
        <w:footnoteReference w:id="190"/>
      </w:r>
      <w:r w:rsidR="006672CB" w:rsidRPr="00282692">
        <w:rPr>
          <w:rFonts w:ascii="Times New Roman" w:hAnsi="Times New Roman" w:cs="Times New Roman"/>
          <w:sz w:val="24"/>
          <w:szCs w:val="24"/>
        </w:rPr>
        <w:t xml:space="preserve">. </w:t>
      </w:r>
      <w:r w:rsidRPr="00282692">
        <w:rPr>
          <w:rFonts w:ascii="Times New Roman" w:hAnsi="Times New Roman" w:cs="Times New Roman"/>
          <w:sz w:val="24"/>
          <w:szCs w:val="24"/>
        </w:rPr>
        <w:t xml:space="preserve">Οι διαπιστώσεις αυτές του Γενικού Δικαστηρίου </w:t>
      </w:r>
      <w:r w:rsidR="00A835F5" w:rsidRPr="00282692">
        <w:rPr>
          <w:rFonts w:ascii="Times New Roman" w:hAnsi="Times New Roman" w:cs="Times New Roman"/>
          <w:sz w:val="24"/>
          <w:szCs w:val="24"/>
        </w:rPr>
        <w:t>επικυρώθηκαν από το Δικαστήριο στην απόφαση του επί της αίτησης αναίρεσης που ασκήθηκε κατά της απόφασης του Γενικού Δικαστηρίου</w:t>
      </w:r>
      <w:r w:rsidR="00F77EE6" w:rsidRPr="00282692">
        <w:rPr>
          <w:rStyle w:val="FootnoteReference"/>
          <w:rFonts w:ascii="Times New Roman" w:hAnsi="Times New Roman" w:cs="Times New Roman"/>
          <w:sz w:val="24"/>
          <w:szCs w:val="24"/>
        </w:rPr>
        <w:footnoteReference w:id="191"/>
      </w:r>
      <w:r w:rsidR="00A835F5" w:rsidRPr="00282692">
        <w:rPr>
          <w:rFonts w:ascii="Times New Roman" w:hAnsi="Times New Roman" w:cs="Times New Roman"/>
          <w:sz w:val="24"/>
          <w:szCs w:val="24"/>
        </w:rPr>
        <w:t>.</w:t>
      </w:r>
      <w:r w:rsidR="00482ED1">
        <w:rPr>
          <w:rFonts w:ascii="Times New Roman" w:hAnsi="Times New Roman" w:cs="Times New Roman"/>
          <w:sz w:val="24"/>
          <w:szCs w:val="24"/>
        </w:rPr>
        <w:t xml:space="preserve"> Μάλιστα, αξίζει να σημειωθεί ότι το Δικαστήριο επιβεβαίωσε στην απόφασή του ότι η χρέωση «αρνητικών τιμών», δηλαδή τιμών χαμηλότερων της τιμής κόστους, στους πελάτες της δεσπόζουσας επιχείρησης δεν αποτελεί απαραίτητη προϋπόθεση για να διαπιστωθεί ότι το σύστημα εκπτώσεων που εφάρμοζε η δεσπόζουσα επιχείρηση ήταν καταχρηστικό</w:t>
      </w:r>
      <w:r w:rsidR="00482ED1">
        <w:rPr>
          <w:rStyle w:val="FootnoteReference"/>
          <w:rFonts w:ascii="Times New Roman" w:hAnsi="Times New Roman" w:cs="Times New Roman"/>
          <w:sz w:val="24"/>
          <w:szCs w:val="24"/>
        </w:rPr>
        <w:footnoteReference w:id="192"/>
      </w:r>
      <w:r w:rsidR="00482ED1">
        <w:rPr>
          <w:rFonts w:ascii="Times New Roman" w:hAnsi="Times New Roman" w:cs="Times New Roman"/>
          <w:sz w:val="24"/>
          <w:szCs w:val="24"/>
        </w:rPr>
        <w:t xml:space="preserve">. </w:t>
      </w:r>
    </w:p>
    <w:p w:rsidR="00A256D7" w:rsidRDefault="00454B8D" w:rsidP="002826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Περαιτέρω, στην απόφαση </w:t>
      </w:r>
      <w:r w:rsidRPr="00454B8D">
        <w:rPr>
          <w:rFonts w:ascii="Times New Roman" w:hAnsi="Times New Roman" w:cs="Times New Roman"/>
          <w:i/>
          <w:sz w:val="24"/>
          <w:szCs w:val="24"/>
          <w:lang w:val="en-US"/>
        </w:rPr>
        <w:t>PostDenmarkII</w:t>
      </w:r>
      <w:r w:rsidRPr="00454B8D">
        <w:rPr>
          <w:rFonts w:ascii="Times New Roman" w:hAnsi="Times New Roman" w:cs="Times New Roman"/>
          <w:sz w:val="24"/>
          <w:szCs w:val="24"/>
        </w:rPr>
        <w:t>,</w:t>
      </w:r>
      <w:r>
        <w:rPr>
          <w:rFonts w:ascii="Times New Roman" w:hAnsi="Times New Roman" w:cs="Times New Roman"/>
          <w:sz w:val="24"/>
          <w:szCs w:val="24"/>
        </w:rPr>
        <w:t xml:space="preserve"> το Δικαστ</w:t>
      </w:r>
      <w:r w:rsidR="001A1D6B">
        <w:rPr>
          <w:rFonts w:ascii="Times New Roman" w:hAnsi="Times New Roman" w:cs="Times New Roman"/>
          <w:sz w:val="24"/>
          <w:szCs w:val="24"/>
        </w:rPr>
        <w:t>ήριο παρατήρησε ότι, προκειμένου να αποφασιστεί αν ένα σύστημα εκπτώσεων συνιστά καταχρηστική συμπεριφορά, απαιτείται να λαμβάνεται το σύνολο των περιστάσεων της κρινόμενης υπόθεσης</w:t>
      </w:r>
      <w:r w:rsidR="00436181">
        <w:rPr>
          <w:rStyle w:val="FootnoteReference"/>
          <w:rFonts w:ascii="Times New Roman" w:hAnsi="Times New Roman" w:cs="Times New Roman"/>
          <w:sz w:val="24"/>
          <w:szCs w:val="24"/>
        </w:rPr>
        <w:footnoteReference w:id="193"/>
      </w:r>
      <w:r w:rsidR="001A1D6B">
        <w:rPr>
          <w:rFonts w:ascii="Times New Roman" w:hAnsi="Times New Roman" w:cs="Times New Roman"/>
          <w:sz w:val="24"/>
          <w:szCs w:val="24"/>
        </w:rPr>
        <w:t>.</w:t>
      </w:r>
      <w:r w:rsidR="00436181">
        <w:rPr>
          <w:rFonts w:ascii="Times New Roman" w:hAnsi="Times New Roman" w:cs="Times New Roman"/>
          <w:sz w:val="24"/>
          <w:szCs w:val="24"/>
        </w:rPr>
        <w:t xml:space="preserve"> Στη συνέχεια της συλλογιστικής του, το ΔΕΕ διατύπωσε την άποψη ότι ο αναδρομικός χαρακτήρας των επίδικων εκπτώσεων σε συνδυασμό με τη διαπίστωση ότι το επίμαχο σύστημα εκπτώσεων βασιζόταν σε μια ετήσια περίοδο αναφοράς συνεπαγόταν την ανάπτυξη του «φαινομένου της απορρόφησης», στο οποίο περιλαμβάνεται η ευκολότερη εξασφάλιση της αφοσίωσης των πελατών της δεσπόζουσας επιχείρησης και η προσέλκυση της πελατείας των ανταγωνιστών της εν λόγω επιχείρησης</w:t>
      </w:r>
      <w:r w:rsidR="00436181">
        <w:rPr>
          <w:rStyle w:val="FootnoteReference"/>
          <w:rFonts w:ascii="Times New Roman" w:hAnsi="Times New Roman" w:cs="Times New Roman"/>
          <w:sz w:val="24"/>
          <w:szCs w:val="24"/>
        </w:rPr>
        <w:footnoteReference w:id="194"/>
      </w:r>
      <w:r w:rsidR="00436181">
        <w:rPr>
          <w:rFonts w:ascii="Times New Roman" w:hAnsi="Times New Roman" w:cs="Times New Roman"/>
          <w:sz w:val="24"/>
          <w:szCs w:val="24"/>
        </w:rPr>
        <w:t>.</w:t>
      </w:r>
      <w:r w:rsidR="00A256D7">
        <w:rPr>
          <w:rFonts w:ascii="Times New Roman" w:hAnsi="Times New Roman" w:cs="Times New Roman"/>
          <w:sz w:val="24"/>
          <w:szCs w:val="24"/>
        </w:rPr>
        <w:t xml:space="preserve"> Ακόμα</w:t>
      </w:r>
      <w:r w:rsidR="001C4922">
        <w:rPr>
          <w:rFonts w:ascii="Times New Roman" w:hAnsi="Times New Roman" w:cs="Times New Roman"/>
          <w:sz w:val="24"/>
          <w:szCs w:val="24"/>
        </w:rPr>
        <w:t xml:space="preserve">, </w:t>
      </w:r>
      <w:r w:rsidR="004F0FEB">
        <w:rPr>
          <w:rFonts w:ascii="Times New Roman" w:hAnsi="Times New Roman" w:cs="Times New Roman"/>
          <w:sz w:val="24"/>
          <w:szCs w:val="24"/>
        </w:rPr>
        <w:t xml:space="preserve">το ΔΕΕ εκτίμησε ότι το επίμαχο σύστημα εκπτώσεων παρήγαγε αποτέλεσμα εκτοπισμού βασιζόμενο στις διαπιστώσεις ότι ο ανταγωνισμός στη σχετική αγορά ήταν ήδη πολύ περιορισμένος, ότι η </w:t>
      </w:r>
      <w:r w:rsidR="004F0FEB">
        <w:rPr>
          <w:rFonts w:ascii="Times New Roman" w:hAnsi="Times New Roman" w:cs="Times New Roman"/>
          <w:sz w:val="24"/>
          <w:szCs w:val="24"/>
          <w:lang w:val="en-US"/>
        </w:rPr>
        <w:t>PostDenmark</w:t>
      </w:r>
      <w:r w:rsidR="004F0FEB">
        <w:rPr>
          <w:rFonts w:ascii="Times New Roman" w:hAnsi="Times New Roman" w:cs="Times New Roman"/>
          <w:sz w:val="24"/>
          <w:szCs w:val="24"/>
        </w:rPr>
        <w:t>ήταν αναπόφευκτος εμπορικός εταίρος και ότι το επίμαχο σύστημα εκπτώσεων κάλυπτε το μείζον τμήμα της πελατείας στην αγορά</w:t>
      </w:r>
      <w:r w:rsidR="00F871DC">
        <w:rPr>
          <w:rStyle w:val="FootnoteReference"/>
          <w:rFonts w:ascii="Times New Roman" w:hAnsi="Times New Roman" w:cs="Times New Roman"/>
          <w:sz w:val="24"/>
          <w:szCs w:val="24"/>
        </w:rPr>
        <w:footnoteReference w:id="195"/>
      </w:r>
      <w:r w:rsidR="004F0FEB">
        <w:rPr>
          <w:rFonts w:ascii="Times New Roman" w:hAnsi="Times New Roman" w:cs="Times New Roman"/>
          <w:sz w:val="24"/>
          <w:szCs w:val="24"/>
        </w:rPr>
        <w:t>.</w:t>
      </w:r>
      <w:r w:rsidR="00F871DC">
        <w:rPr>
          <w:rFonts w:ascii="Times New Roman" w:hAnsi="Times New Roman" w:cs="Times New Roman"/>
          <w:sz w:val="24"/>
          <w:szCs w:val="24"/>
        </w:rPr>
        <w:t xml:space="preserve"> Ωστόσο, το ΔΕΕ αναγνώρισε στη δεσπόζουσα επιχείρηση τη δυνατότητα να παράσχει αντικειμενική δικαιολόγηση για το σύστημα εκπτώσεων που εφάρμοζε</w:t>
      </w:r>
      <w:r w:rsidR="007D7423">
        <w:rPr>
          <w:rStyle w:val="FootnoteReference"/>
          <w:rFonts w:ascii="Times New Roman" w:hAnsi="Times New Roman" w:cs="Times New Roman"/>
          <w:sz w:val="24"/>
          <w:szCs w:val="24"/>
        </w:rPr>
        <w:footnoteReference w:id="196"/>
      </w:r>
      <w:r w:rsidR="00F871DC">
        <w:rPr>
          <w:rFonts w:ascii="Times New Roman" w:hAnsi="Times New Roman" w:cs="Times New Roman"/>
          <w:sz w:val="24"/>
          <w:szCs w:val="24"/>
        </w:rPr>
        <w:t>.</w:t>
      </w:r>
    </w:p>
    <w:p w:rsidR="00436181" w:rsidRDefault="00A256D7" w:rsidP="002826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Μια ακόμα σημαντική διευκρίνιση που παρέσχε το ΔΕΕ στην απόφαση</w:t>
      </w:r>
      <w:r w:rsidR="000856A9" w:rsidRPr="00454B8D">
        <w:rPr>
          <w:rFonts w:ascii="Times New Roman" w:hAnsi="Times New Roman" w:cs="Times New Roman"/>
          <w:i/>
          <w:sz w:val="24"/>
          <w:szCs w:val="24"/>
          <w:lang w:val="en-US"/>
        </w:rPr>
        <w:t>PostDenmarkII</w:t>
      </w:r>
      <w:r w:rsidR="000856A9">
        <w:rPr>
          <w:rFonts w:ascii="Times New Roman" w:hAnsi="Times New Roman" w:cs="Times New Roman"/>
          <w:sz w:val="24"/>
          <w:szCs w:val="24"/>
        </w:rPr>
        <w:t xml:space="preserve">ήταν ότι η εφαρμογή του κριτηρίου του εξίσου </w:t>
      </w:r>
      <w:r w:rsidR="000856A9">
        <w:rPr>
          <w:rFonts w:ascii="Times New Roman" w:hAnsi="Times New Roman" w:cs="Times New Roman"/>
          <w:sz w:val="24"/>
          <w:szCs w:val="24"/>
        </w:rPr>
        <w:lastRenderedPageBreak/>
        <w:t xml:space="preserve">αποτελεσματικού ανταγωνισμού δεν αποτελεί απαραίτητη προϋπόθεση για να διαπιστωθεί η καταχρηστικότητα ενός συστήματος εκπτώσεων, αλλά ότι το εν λόγω κριτήριο αποτελεί </w:t>
      </w:r>
      <w:r w:rsidR="000856A9" w:rsidRPr="000856A9">
        <w:rPr>
          <w:rFonts w:ascii="Times New Roman" w:hAnsi="Times New Roman" w:cs="Times New Roman"/>
          <w:b/>
          <w:sz w:val="24"/>
          <w:szCs w:val="24"/>
          <w:u w:val="single"/>
        </w:rPr>
        <w:t>ένα από τα περισσότερα εργαλεία</w:t>
      </w:r>
      <w:r w:rsidR="000856A9">
        <w:rPr>
          <w:rFonts w:ascii="Times New Roman" w:hAnsi="Times New Roman" w:cs="Times New Roman"/>
          <w:sz w:val="24"/>
          <w:szCs w:val="24"/>
        </w:rPr>
        <w:t xml:space="preserve"> που μπορούν να χρησιμοποιηθο</w:t>
      </w:r>
      <w:r w:rsidR="00D76C82">
        <w:rPr>
          <w:rFonts w:ascii="Times New Roman" w:hAnsi="Times New Roman" w:cs="Times New Roman"/>
          <w:sz w:val="24"/>
          <w:szCs w:val="24"/>
        </w:rPr>
        <w:t>ύν για μια τέτοια διαπίστωση</w:t>
      </w:r>
      <w:r w:rsidR="00D76C82">
        <w:rPr>
          <w:rStyle w:val="FootnoteReference"/>
          <w:rFonts w:ascii="Times New Roman" w:hAnsi="Times New Roman" w:cs="Times New Roman"/>
          <w:sz w:val="24"/>
          <w:szCs w:val="24"/>
        </w:rPr>
        <w:footnoteReference w:id="197"/>
      </w:r>
      <w:r w:rsidR="00D76C82">
        <w:rPr>
          <w:rFonts w:ascii="Times New Roman" w:hAnsi="Times New Roman" w:cs="Times New Roman"/>
          <w:sz w:val="24"/>
          <w:szCs w:val="24"/>
        </w:rPr>
        <w:t xml:space="preserve">. Μάλιστα, στην υπόθεση </w:t>
      </w:r>
      <w:r w:rsidR="00D76C82" w:rsidRPr="00454B8D">
        <w:rPr>
          <w:rFonts w:ascii="Times New Roman" w:hAnsi="Times New Roman" w:cs="Times New Roman"/>
          <w:i/>
          <w:sz w:val="24"/>
          <w:szCs w:val="24"/>
          <w:lang w:val="en-US"/>
        </w:rPr>
        <w:t>PostDenmarkII</w:t>
      </w:r>
      <w:r w:rsidR="00D76C82" w:rsidRPr="00D76C82">
        <w:rPr>
          <w:rFonts w:ascii="Times New Roman" w:hAnsi="Times New Roman" w:cs="Times New Roman"/>
          <w:sz w:val="24"/>
          <w:szCs w:val="24"/>
        </w:rPr>
        <w:t>,</w:t>
      </w:r>
      <w:r w:rsidR="00D76C82">
        <w:rPr>
          <w:rFonts w:ascii="Times New Roman" w:hAnsi="Times New Roman" w:cs="Times New Roman"/>
          <w:sz w:val="24"/>
          <w:szCs w:val="24"/>
        </w:rPr>
        <w:t xml:space="preserve"> το ΔΕΕ έκρινε ότι δεν έχει νόημα η εφαρμογή του κριτηρίου του εξίσου αποτελεσματικού ανταγωνιστή διότι, πρώτον, η δομή της αγοράς καθιστούσε πρακτικά αδύνατη την εμφάνιση εξίσου αποτελεσματικού ανταγωνιστή και, δεύτερον, η παρουσία ενός λιγότερο αποτελεσματικού ανταγωνιστή θα μπορούσε να εντείνει την ανταγωνιστική πίεση στην αγορά</w:t>
      </w:r>
      <w:r w:rsidR="00D76C82">
        <w:rPr>
          <w:rStyle w:val="FootnoteReference"/>
          <w:rFonts w:ascii="Times New Roman" w:hAnsi="Times New Roman" w:cs="Times New Roman"/>
          <w:sz w:val="24"/>
          <w:szCs w:val="24"/>
        </w:rPr>
        <w:footnoteReference w:id="198"/>
      </w:r>
      <w:r w:rsidR="00D76C82">
        <w:rPr>
          <w:rFonts w:ascii="Times New Roman" w:hAnsi="Times New Roman" w:cs="Times New Roman"/>
          <w:sz w:val="24"/>
          <w:szCs w:val="24"/>
        </w:rPr>
        <w:t xml:space="preserve">.   </w:t>
      </w:r>
    </w:p>
    <w:p w:rsidR="002A6AAA" w:rsidRPr="00282692" w:rsidRDefault="002A6AAA"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Περαιτέρω</w:t>
      </w:r>
      <w:r w:rsidR="000135E2" w:rsidRPr="00282692">
        <w:rPr>
          <w:rFonts w:ascii="Times New Roman" w:hAnsi="Times New Roman" w:cs="Times New Roman"/>
          <w:sz w:val="24"/>
          <w:szCs w:val="24"/>
        </w:rPr>
        <w:t xml:space="preserve">, στην </w:t>
      </w:r>
      <w:r w:rsidR="00200FA8" w:rsidRPr="00282692">
        <w:rPr>
          <w:rFonts w:ascii="Times New Roman" w:hAnsi="Times New Roman" w:cs="Times New Roman"/>
          <w:sz w:val="24"/>
          <w:szCs w:val="24"/>
        </w:rPr>
        <w:t>υπόθεση</w:t>
      </w:r>
      <w:r w:rsidR="000135E2" w:rsidRPr="00282692">
        <w:rPr>
          <w:rFonts w:ascii="Times New Roman" w:hAnsi="Times New Roman" w:cs="Times New Roman"/>
          <w:i/>
          <w:sz w:val="24"/>
          <w:szCs w:val="24"/>
          <w:lang w:val="en-US"/>
        </w:rPr>
        <w:t>Intel</w:t>
      </w:r>
      <w:r w:rsidR="000135E2" w:rsidRPr="00282692">
        <w:rPr>
          <w:rFonts w:ascii="Times New Roman" w:hAnsi="Times New Roman" w:cs="Times New Roman"/>
          <w:sz w:val="24"/>
          <w:szCs w:val="24"/>
        </w:rPr>
        <w:t>, το Γενικ</w:t>
      </w:r>
      <w:r w:rsidR="00EF3A79" w:rsidRPr="00282692">
        <w:rPr>
          <w:rFonts w:ascii="Times New Roman" w:hAnsi="Times New Roman" w:cs="Times New Roman"/>
          <w:sz w:val="24"/>
          <w:szCs w:val="24"/>
        </w:rPr>
        <w:t>ό Δικαστήριο, ακολουθώντας την πάγια ενωσιακή νομολογία, επαναδιατύπωσε τη θέση ότι οι εκπτώσεις υπέρ πιστών πελατών συνιστούν καταχρηστική πρακτική υπό το πρίσμα του άρθρου 102 ΣΛΕΕ, καθώς οι εν λόγω εκπτώσεις «αποσκοπούν στην εξάλειψη ή τον περιορισμό της δυνατότητας του αγοραστή να επιλέγει τις πηγές εφοδιασμού του και στην παρεμπόδιση της εισόδου άλλων παραγωγών στην αγορά.»</w:t>
      </w:r>
      <w:r w:rsidR="00EF3A79" w:rsidRPr="00282692">
        <w:rPr>
          <w:rStyle w:val="FootnoteReference"/>
          <w:rFonts w:ascii="Times New Roman" w:hAnsi="Times New Roman" w:cs="Times New Roman"/>
          <w:sz w:val="24"/>
          <w:szCs w:val="24"/>
        </w:rPr>
        <w:footnoteReference w:id="199"/>
      </w:r>
      <w:r w:rsidR="00F278F3" w:rsidRPr="00282692">
        <w:rPr>
          <w:rFonts w:ascii="Times New Roman" w:hAnsi="Times New Roman" w:cs="Times New Roman"/>
          <w:sz w:val="24"/>
          <w:szCs w:val="24"/>
        </w:rPr>
        <w:t xml:space="preserve">Η θέση αυτή επεξηγήθηκε σε επόμενες σκέψεις της απόφασης </w:t>
      </w:r>
      <w:r w:rsidR="00F278F3" w:rsidRPr="00282692">
        <w:rPr>
          <w:rFonts w:ascii="Times New Roman" w:hAnsi="Times New Roman" w:cs="Times New Roman"/>
          <w:i/>
          <w:sz w:val="24"/>
          <w:szCs w:val="24"/>
          <w:lang w:val="en-US"/>
        </w:rPr>
        <w:t>Intel</w:t>
      </w:r>
      <w:r w:rsidR="00F278F3" w:rsidRPr="00282692">
        <w:rPr>
          <w:rFonts w:ascii="Times New Roman" w:hAnsi="Times New Roman" w:cs="Times New Roman"/>
          <w:sz w:val="24"/>
          <w:szCs w:val="24"/>
        </w:rPr>
        <w:t xml:space="preserve"> με χρήση οικονομικών όρων.</w:t>
      </w:r>
    </w:p>
    <w:p w:rsidR="00F278F3" w:rsidRPr="00282692" w:rsidRDefault="00F278F3"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Ειδικότερα, κατά την εκτίμηση του Γενικού Δικαστηρίου, </w:t>
      </w:r>
      <w:r w:rsidRPr="003A5E9B">
        <w:rPr>
          <w:rFonts w:ascii="Times New Roman" w:hAnsi="Times New Roman" w:cs="Times New Roman"/>
          <w:b/>
          <w:sz w:val="24"/>
          <w:szCs w:val="24"/>
          <w:u w:val="single"/>
        </w:rPr>
        <w:t>το γεγονός ότι η δεσπόζουσα επιχείρηση είναι αναγκαίος εμπορικός εταίρος συνεπάγεται ότι οι πελάτες καλύπτουν σε κάθε περίπτωση μέρος των αναγκών τους από την επιχείρηση αυτή</w:t>
      </w:r>
      <w:r w:rsidR="002A6AAA" w:rsidRPr="00282692">
        <w:rPr>
          <w:rFonts w:ascii="Times New Roman" w:hAnsi="Times New Roman" w:cs="Times New Roman"/>
          <w:sz w:val="24"/>
          <w:szCs w:val="24"/>
        </w:rPr>
        <w:t xml:space="preserve"> (μη διεκδικήσιμο μερίδιο αγοράς)</w:t>
      </w:r>
      <w:r w:rsidRPr="00282692">
        <w:rPr>
          <w:rFonts w:ascii="Times New Roman" w:hAnsi="Times New Roman" w:cs="Times New Roman"/>
          <w:sz w:val="24"/>
          <w:szCs w:val="24"/>
        </w:rPr>
        <w:t>.</w:t>
      </w:r>
      <w:r w:rsidR="002A6AAA" w:rsidRPr="00282692">
        <w:rPr>
          <w:rFonts w:ascii="Times New Roman" w:hAnsi="Times New Roman" w:cs="Times New Roman"/>
          <w:sz w:val="24"/>
          <w:szCs w:val="24"/>
        </w:rPr>
        <w:t xml:space="preserve"> Αυτό σημαίνει ότι ο ανταγωνιστής μιας δεσπόζουσας επιχείρησης μπορεί να την ανταγωνιστεί για το</w:t>
      </w:r>
      <w:r w:rsidR="003A5E9B">
        <w:rPr>
          <w:rFonts w:ascii="Times New Roman" w:hAnsi="Times New Roman" w:cs="Times New Roman"/>
          <w:sz w:val="24"/>
          <w:szCs w:val="24"/>
        </w:rPr>
        <w:t>ν</w:t>
      </w:r>
      <w:r w:rsidR="002A6AAA" w:rsidRPr="00282692">
        <w:rPr>
          <w:rFonts w:ascii="Times New Roman" w:hAnsi="Times New Roman" w:cs="Times New Roman"/>
          <w:sz w:val="24"/>
          <w:szCs w:val="24"/>
        </w:rPr>
        <w:t xml:space="preserve"> συνολικό εφοδιασμό ενός πελάτη, αλλά μόνον για το μέρος της ζήτησης πέραν του μη διεκδικήσιμου μεριδίου αγοράς (</w:t>
      </w:r>
      <w:r w:rsidRPr="00282692">
        <w:rPr>
          <w:rFonts w:ascii="Times New Roman" w:hAnsi="Times New Roman" w:cs="Times New Roman"/>
          <w:sz w:val="24"/>
          <w:szCs w:val="24"/>
        </w:rPr>
        <w:t xml:space="preserve">διεκδικήσιμο μερίδιο αγοράς). Επομένως, το διεκδικήσιμο μερίδιο αγοράς είναι το μέρος των αναγκών ενός πελάτη που μπορεί ρεαλιστικά να καλυφθεί από νέο ανταγωνιστή για οποιαδήποτε δεδομένη περίοδο. Η χορήγηση εκπτώσεων λόγω αποκλειστικότητας από </w:t>
      </w:r>
      <w:r w:rsidR="002A6AAA" w:rsidRPr="00282692">
        <w:rPr>
          <w:rFonts w:ascii="Times New Roman" w:hAnsi="Times New Roman" w:cs="Times New Roman"/>
          <w:sz w:val="24"/>
          <w:szCs w:val="24"/>
        </w:rPr>
        <w:t>τη δεσπόζουσα επιχείρηση</w:t>
      </w:r>
      <w:r w:rsidRPr="00282692">
        <w:rPr>
          <w:rFonts w:ascii="Times New Roman" w:hAnsi="Times New Roman" w:cs="Times New Roman"/>
          <w:sz w:val="24"/>
          <w:szCs w:val="24"/>
        </w:rPr>
        <w:t xml:space="preserve"> δυσχεραίνει την πώληση ανταγωνιστικών προϊόντων στους</w:t>
      </w:r>
      <w:r w:rsidR="002A6AAA" w:rsidRPr="00282692">
        <w:rPr>
          <w:rFonts w:ascii="Times New Roman" w:hAnsi="Times New Roman" w:cs="Times New Roman"/>
          <w:sz w:val="24"/>
          <w:szCs w:val="24"/>
        </w:rPr>
        <w:t xml:space="preserve"> πελάτες της εν λόγω επιχείρηση</w:t>
      </w:r>
      <w:r w:rsidRPr="00282692">
        <w:rPr>
          <w:rFonts w:ascii="Times New Roman" w:hAnsi="Times New Roman" w:cs="Times New Roman"/>
          <w:sz w:val="24"/>
          <w:szCs w:val="24"/>
        </w:rPr>
        <w:t>ς. Συγκεκριμένα, αν ένας πελάτης της κατέχο</w:t>
      </w:r>
      <w:r w:rsidR="003A5E9B">
        <w:rPr>
          <w:rFonts w:ascii="Times New Roman" w:hAnsi="Times New Roman" w:cs="Times New Roman"/>
          <w:sz w:val="24"/>
          <w:szCs w:val="24"/>
        </w:rPr>
        <w:t>υσας δεσπόζουσα θέση επιχείρηση</w:t>
      </w:r>
      <w:r w:rsidR="003A5E9B" w:rsidRPr="00282692">
        <w:rPr>
          <w:rFonts w:ascii="Times New Roman" w:hAnsi="Times New Roman" w:cs="Times New Roman"/>
          <w:sz w:val="24"/>
          <w:szCs w:val="24"/>
        </w:rPr>
        <w:t>ς</w:t>
      </w:r>
      <w:r w:rsidRPr="00282692">
        <w:rPr>
          <w:rFonts w:ascii="Times New Roman" w:hAnsi="Times New Roman" w:cs="Times New Roman"/>
          <w:sz w:val="24"/>
          <w:szCs w:val="24"/>
        </w:rPr>
        <w:t xml:space="preserve"> εφοδιαστεί από ανταγωνιστή, μη τηρώντας την υποχρέωση πλήρους ή σχεδόν πλήρους αποκλειστικότητας, αντιμετωπίζει τον κίνδυνο να απολέσει όχι μόνον την έκπτωση για τις ποσότητες των προϊόντων που έχει αγοράσει από τον ανταγωνιστή,</w:t>
      </w:r>
      <w:r w:rsidR="003A5E9B">
        <w:rPr>
          <w:rFonts w:ascii="Times New Roman" w:hAnsi="Times New Roman" w:cs="Times New Roman"/>
          <w:sz w:val="24"/>
          <w:szCs w:val="24"/>
        </w:rPr>
        <w:t xml:space="preserve"> αλλά και το σύνολο της έκπτωση</w:t>
      </w:r>
      <w:r w:rsidR="003A5E9B" w:rsidRPr="00282692">
        <w:rPr>
          <w:rFonts w:ascii="Times New Roman" w:hAnsi="Times New Roman" w:cs="Times New Roman"/>
          <w:sz w:val="24"/>
          <w:szCs w:val="24"/>
        </w:rPr>
        <w:t>ς</w:t>
      </w:r>
      <w:r w:rsidRPr="00282692">
        <w:rPr>
          <w:rFonts w:ascii="Times New Roman" w:hAnsi="Times New Roman" w:cs="Times New Roman"/>
          <w:sz w:val="24"/>
          <w:szCs w:val="24"/>
        </w:rPr>
        <w:t xml:space="preserve"> λόγω αποκλειστικότητας</w:t>
      </w:r>
      <w:r w:rsidR="002A6AAA" w:rsidRPr="00282692">
        <w:rPr>
          <w:rStyle w:val="FootnoteReference"/>
          <w:rFonts w:ascii="Times New Roman" w:hAnsi="Times New Roman" w:cs="Times New Roman"/>
          <w:sz w:val="24"/>
          <w:szCs w:val="24"/>
        </w:rPr>
        <w:footnoteReference w:id="200"/>
      </w:r>
      <w:r w:rsidRPr="00282692">
        <w:rPr>
          <w:rFonts w:ascii="Times New Roman" w:hAnsi="Times New Roman" w:cs="Times New Roman"/>
          <w:sz w:val="24"/>
          <w:szCs w:val="24"/>
        </w:rPr>
        <w:t>.</w:t>
      </w:r>
    </w:p>
    <w:p w:rsidR="002A6AAA" w:rsidRPr="00282692" w:rsidRDefault="002A6AAA"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Βάσει των διαπιστώσεων αυτών</w:t>
      </w:r>
      <w:r w:rsidR="00F278F3" w:rsidRPr="00282692">
        <w:rPr>
          <w:rFonts w:ascii="Times New Roman" w:hAnsi="Times New Roman" w:cs="Times New Roman"/>
          <w:sz w:val="24"/>
          <w:szCs w:val="24"/>
        </w:rPr>
        <w:t>, για να καταστήσει ο ανταγωνιστής της κατέχουσας δεσπόζουσα θέση</w:t>
      </w:r>
      <w:r w:rsidR="003A5E9B">
        <w:rPr>
          <w:rFonts w:ascii="Times New Roman" w:hAnsi="Times New Roman" w:cs="Times New Roman"/>
          <w:sz w:val="24"/>
          <w:szCs w:val="24"/>
        </w:rPr>
        <w:t xml:space="preserve"> επιχείρηση</w:t>
      </w:r>
      <w:r w:rsidR="003A5E9B" w:rsidRPr="00282692">
        <w:rPr>
          <w:rFonts w:ascii="Times New Roman" w:hAnsi="Times New Roman" w:cs="Times New Roman"/>
          <w:sz w:val="24"/>
          <w:szCs w:val="24"/>
        </w:rPr>
        <w:t>ς</w:t>
      </w:r>
      <w:r w:rsidR="00F278F3" w:rsidRPr="00282692">
        <w:rPr>
          <w:rFonts w:ascii="Times New Roman" w:hAnsi="Times New Roman" w:cs="Times New Roman"/>
          <w:sz w:val="24"/>
          <w:szCs w:val="24"/>
        </w:rPr>
        <w:t xml:space="preserve"> την προσφορά του ελκυστική, δεν αρκεί να προτείνει ελκυστικότερους όρους όσον αφορά τις μονάδες προϊόντων που μπορεί αυτός να προμηθεύσει στον πελάτη, αλλά και να αντισταθμίσει την απώλεια των εκπτώσεων λόγω αποκλειστικότητας που θα υποστεί ο πελάτης αυτός. Επομένως, για να είναι η προσφορά του ελκυστική, ο ανταγωνιστής πρέπει να επιμερίσει στο διεκδικήσιμο μερίδιο αγοράς και μόνον την έκπτωση που χορηγεί η κατέχουσα δεσπόζουσα θέση επιχείρηση για το σύνολο ή για μέρος των αναγκών του πελάτη, περιλαμβανομένου του μη διεκδικήσιμου μεριδίου αγοράς. Για τον λόγο αυτό, η χορήγηση εκπτώσεως λόγω αποκλειστικότητας από έναν αναγκαίο εμπορικό εταίρο περιορίζει εγγενώς τη δυνατότητα ενός ανταγωνιστή να υποβάλει προσφορά με ελκυστική τιμή και, συνεπώς, να έχει πρόσβαση στην αγορά. Η χορήγηση εκπτώσεως λόγω αποκλειστικότητας παρέχει στην κατέχουσα δεσπόζουσα θέση επιχείρηση τη δυνατότητα να χρησιμοποιεί την οικονομική ισχύ της, όσον αφορά το μη </w:t>
      </w:r>
      <w:r w:rsidR="00F278F3" w:rsidRPr="00282692">
        <w:rPr>
          <w:rFonts w:ascii="Times New Roman" w:hAnsi="Times New Roman" w:cs="Times New Roman"/>
          <w:sz w:val="24"/>
          <w:szCs w:val="24"/>
        </w:rPr>
        <w:lastRenderedPageBreak/>
        <w:t>διεκδικήσιμο μερίδιο της προερχόμενης από τον πελάτη ζήτησης, ως εργαλείο ώστε να εξασφαλίζει και το διεκδικήσιμο μερίδιο, καθιστώντας έτσι δυσχερέστερη την πρόσβαση των ανταγωνιστών στην αγορά</w:t>
      </w:r>
      <w:r w:rsidRPr="00282692">
        <w:rPr>
          <w:rStyle w:val="FootnoteReference"/>
          <w:rFonts w:ascii="Times New Roman" w:hAnsi="Times New Roman" w:cs="Times New Roman"/>
          <w:sz w:val="24"/>
          <w:szCs w:val="24"/>
        </w:rPr>
        <w:footnoteReference w:id="201"/>
      </w:r>
      <w:r w:rsidR="00F278F3" w:rsidRPr="00282692">
        <w:rPr>
          <w:rFonts w:ascii="Times New Roman" w:hAnsi="Times New Roman" w:cs="Times New Roman"/>
          <w:sz w:val="24"/>
          <w:szCs w:val="24"/>
        </w:rPr>
        <w:t>.</w:t>
      </w:r>
    </w:p>
    <w:p w:rsidR="00102DDB" w:rsidRDefault="002A6AAA"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Τέλος, </w:t>
      </w:r>
      <w:r w:rsidR="009F034B" w:rsidRPr="00282692">
        <w:rPr>
          <w:rFonts w:ascii="Times New Roman" w:hAnsi="Times New Roman" w:cs="Times New Roman"/>
          <w:sz w:val="24"/>
          <w:szCs w:val="24"/>
        </w:rPr>
        <w:t xml:space="preserve">στην απόφαση </w:t>
      </w:r>
      <w:r w:rsidR="009F034B" w:rsidRPr="00744E91">
        <w:rPr>
          <w:rFonts w:ascii="Times New Roman" w:hAnsi="Times New Roman" w:cs="Times New Roman"/>
          <w:i/>
          <w:sz w:val="24"/>
          <w:szCs w:val="24"/>
          <w:lang w:val="en-US"/>
        </w:rPr>
        <w:t>Intel</w:t>
      </w:r>
      <w:r w:rsidR="009F034B" w:rsidRPr="00282692">
        <w:rPr>
          <w:rFonts w:ascii="Times New Roman" w:hAnsi="Times New Roman" w:cs="Times New Roman"/>
          <w:sz w:val="24"/>
          <w:szCs w:val="24"/>
        </w:rPr>
        <w:t>, το Γενικό Δικαστήριο κατέστησε σαφές ότι η εφαρμογή του κριτηρίου του εξίσου αποτελεσματικού ανταγωνιστή δεν είναι σε θέση να αναιρέσει το χαρακτηρισμό μιας έκπτωσης υπέρ πιστών πελατών ως πρακτικής αντίθετης στους κανόνες του ελεύθερου ανταγωνισμού ούτε τη διαπίστωση ότι η εν λόγω πρακτική μπορεί να δυσχεράνει την πρόσβαση του ανταγωνιστή στην αγορά</w:t>
      </w:r>
      <w:r w:rsidR="00FB77BE" w:rsidRPr="00282692">
        <w:rPr>
          <w:rStyle w:val="FootnoteReference"/>
          <w:rFonts w:ascii="Times New Roman" w:hAnsi="Times New Roman" w:cs="Times New Roman"/>
          <w:sz w:val="24"/>
          <w:szCs w:val="24"/>
        </w:rPr>
        <w:footnoteReference w:id="202"/>
      </w:r>
      <w:r w:rsidR="009F034B" w:rsidRPr="00282692">
        <w:rPr>
          <w:rFonts w:ascii="Times New Roman" w:hAnsi="Times New Roman" w:cs="Times New Roman"/>
          <w:sz w:val="24"/>
          <w:szCs w:val="24"/>
        </w:rPr>
        <w:t>.</w:t>
      </w:r>
    </w:p>
    <w:p w:rsidR="00E1236F" w:rsidRPr="00E1236F" w:rsidRDefault="00102DDB" w:rsidP="002826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απόφαση του Γενικού Δικαστηρίου στην υπόθεση </w:t>
      </w:r>
      <w:r w:rsidRPr="00102DDB">
        <w:rPr>
          <w:rFonts w:ascii="Times New Roman" w:hAnsi="Times New Roman" w:cs="Times New Roman"/>
          <w:i/>
          <w:sz w:val="24"/>
          <w:szCs w:val="24"/>
          <w:lang w:val="en-US"/>
        </w:rPr>
        <w:t>Intel</w:t>
      </w:r>
      <w:r>
        <w:rPr>
          <w:rFonts w:ascii="Times New Roman" w:hAnsi="Times New Roman" w:cs="Times New Roman"/>
          <w:sz w:val="24"/>
          <w:szCs w:val="24"/>
        </w:rPr>
        <w:t>αναιρέθηκε, προς έκπληξη πολλών, από το Δικαστήριο</w:t>
      </w:r>
      <w:r>
        <w:rPr>
          <w:rStyle w:val="FootnoteReference"/>
          <w:rFonts w:ascii="Times New Roman" w:hAnsi="Times New Roman" w:cs="Times New Roman"/>
          <w:sz w:val="24"/>
          <w:szCs w:val="24"/>
        </w:rPr>
        <w:footnoteReference w:id="203"/>
      </w:r>
      <w:r>
        <w:rPr>
          <w:rFonts w:ascii="Times New Roman" w:hAnsi="Times New Roman" w:cs="Times New Roman"/>
          <w:sz w:val="24"/>
          <w:szCs w:val="24"/>
        </w:rPr>
        <w:t xml:space="preserve">. Ειδικότερα, το Δικαστήριο παρατήρησε ότι η Επιτροπή έκανε δεκτό στην απόφασή της </w:t>
      </w:r>
      <w:r w:rsidR="003D0810">
        <w:rPr>
          <w:rFonts w:ascii="Times New Roman" w:hAnsi="Times New Roman" w:cs="Times New Roman"/>
          <w:sz w:val="24"/>
          <w:szCs w:val="24"/>
        </w:rPr>
        <w:t xml:space="preserve">ότι οι εκπτώσεις υπέρ πιστών πελατών έχουν την ικανότητα, εκ της φύσης τους, να περιορίσουν τον ανταγωνισμό, χωρίς να απαιτείται η εφαρμογή του κριτηρίου του εξίσου αποτελεσματικού ανταγωνιστή. Ωστόσο, προκειμένου να καταλήξει στο συμπέρασμα ότι οι επίδικες εκπτώσεις θα μπορούσαν να </w:t>
      </w:r>
      <w:r w:rsidR="00944384">
        <w:rPr>
          <w:rFonts w:ascii="Times New Roman" w:hAnsi="Times New Roman" w:cs="Times New Roman"/>
          <w:sz w:val="24"/>
          <w:szCs w:val="24"/>
        </w:rPr>
        <w:t>έχουν</w:t>
      </w:r>
      <w:r w:rsidR="003D0810">
        <w:rPr>
          <w:rFonts w:ascii="Times New Roman" w:hAnsi="Times New Roman" w:cs="Times New Roman"/>
          <w:sz w:val="24"/>
          <w:szCs w:val="24"/>
        </w:rPr>
        <w:t xml:space="preserve"> αποτέλεσμα εκτοπισμού, η Επιτροπή </w:t>
      </w:r>
      <w:r w:rsidR="00361807">
        <w:rPr>
          <w:rFonts w:ascii="Times New Roman" w:hAnsi="Times New Roman" w:cs="Times New Roman"/>
          <w:sz w:val="24"/>
          <w:szCs w:val="24"/>
        </w:rPr>
        <w:t>ανέπτυξε μια εξαιρετικά λεπτομερή ανάλυση σε σχέση με το κριτήριο του εξίσου αποτελεσματικού ανταγωνιστή.</w:t>
      </w:r>
      <w:r w:rsidR="008A4C4B">
        <w:rPr>
          <w:rFonts w:ascii="Times New Roman" w:hAnsi="Times New Roman" w:cs="Times New Roman"/>
          <w:sz w:val="24"/>
          <w:szCs w:val="24"/>
        </w:rPr>
        <w:t xml:space="preserve"> Με βάση τη διαπίστωση αυτή, το Δικαστήριο </w:t>
      </w:r>
      <w:r w:rsidR="00E1236F">
        <w:rPr>
          <w:rFonts w:ascii="Times New Roman" w:hAnsi="Times New Roman" w:cs="Times New Roman"/>
          <w:sz w:val="24"/>
          <w:szCs w:val="24"/>
        </w:rPr>
        <w:t>αποφάνθηκε</w:t>
      </w:r>
      <w:r w:rsidR="00B43596">
        <w:rPr>
          <w:rFonts w:ascii="Times New Roman" w:hAnsi="Times New Roman" w:cs="Times New Roman"/>
          <w:sz w:val="24"/>
          <w:szCs w:val="24"/>
        </w:rPr>
        <w:t xml:space="preserve"> ότι </w:t>
      </w:r>
      <w:r w:rsidR="00E1236F">
        <w:rPr>
          <w:rFonts w:ascii="Times New Roman" w:hAnsi="Times New Roman" w:cs="Times New Roman"/>
          <w:sz w:val="24"/>
          <w:szCs w:val="24"/>
        </w:rPr>
        <w:t xml:space="preserve">ήταν εσφαλμένη η κρίση του Γενικού Δικαστηρίου ότι δεν ήταν απαραίτητο να εξεταστεί εάν η Επιτροπή είχε εφαρμόσει σύννομα και χωρίς σφάλματα το κριτήριο του εξίσου αποτελεσματικού ανταγωνιστή ή αν ήταν ορθοί οι υπολογισμοί που είχε προτείνει εναλλακτικά η </w:t>
      </w:r>
      <w:r w:rsidR="00E1236F">
        <w:rPr>
          <w:rFonts w:ascii="Times New Roman" w:hAnsi="Times New Roman" w:cs="Times New Roman"/>
          <w:sz w:val="24"/>
          <w:szCs w:val="24"/>
          <w:lang w:val="en-US"/>
        </w:rPr>
        <w:t>Intel</w:t>
      </w:r>
      <w:r w:rsidR="00B36921">
        <w:rPr>
          <w:rStyle w:val="FootnoteReference"/>
          <w:rFonts w:ascii="Times New Roman" w:hAnsi="Times New Roman" w:cs="Times New Roman"/>
          <w:sz w:val="24"/>
          <w:szCs w:val="24"/>
          <w:lang w:val="en-US"/>
        </w:rPr>
        <w:footnoteReference w:id="204"/>
      </w:r>
      <w:r w:rsidR="00E1236F" w:rsidRPr="00E1236F">
        <w:rPr>
          <w:rFonts w:ascii="Times New Roman" w:hAnsi="Times New Roman" w:cs="Times New Roman"/>
          <w:sz w:val="24"/>
          <w:szCs w:val="24"/>
        </w:rPr>
        <w:t>.</w:t>
      </w:r>
    </w:p>
    <w:p w:rsidR="00E66247" w:rsidRDefault="006A00EA" w:rsidP="002826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Με την αναίρεση της απόφασης του Γενικού Δικαστηρίου στην υπόθεση </w:t>
      </w:r>
      <w:r>
        <w:rPr>
          <w:rFonts w:ascii="Times New Roman" w:hAnsi="Times New Roman" w:cs="Times New Roman"/>
          <w:sz w:val="24"/>
          <w:szCs w:val="24"/>
          <w:lang w:val="en-US"/>
        </w:rPr>
        <w:t>Intel</w:t>
      </w:r>
      <w:r>
        <w:rPr>
          <w:rFonts w:ascii="Times New Roman" w:hAnsi="Times New Roman" w:cs="Times New Roman"/>
          <w:sz w:val="24"/>
          <w:szCs w:val="24"/>
        </w:rPr>
        <w:t xml:space="preserve">επιβεβαίωσε, πρώτον, ότι το κριτήριο του εξίσου αποτελεσματικού ανταγωνιστή μπορεί να εφαρμοστεί για τον έλεγχο της νομιμότητας της συμπεριφοράς της δεσπόζουσας επιχείρησης όχι μόνο σε υποθέσεις επιθετικής τιμολόγησης και </w:t>
      </w:r>
      <w:r w:rsidR="00347785">
        <w:rPr>
          <w:rFonts w:ascii="Times New Roman" w:hAnsi="Times New Roman" w:cs="Times New Roman"/>
          <w:sz w:val="24"/>
          <w:szCs w:val="24"/>
        </w:rPr>
        <w:t>συμπίεσης των τιμών αλλά και σε υποθέσεις εκπτώσεων υπέρ πιστών πελατ</w:t>
      </w:r>
      <w:r w:rsidR="00A44F5B">
        <w:rPr>
          <w:rFonts w:ascii="Times New Roman" w:hAnsi="Times New Roman" w:cs="Times New Roman"/>
          <w:sz w:val="24"/>
          <w:szCs w:val="24"/>
        </w:rPr>
        <w:t>ών και, δεύτερον, ότι οι εκπτώσεις υπέρ πιστών πελατών</w:t>
      </w:r>
      <w:r w:rsidR="00106B07">
        <w:rPr>
          <w:rFonts w:ascii="Times New Roman" w:hAnsi="Times New Roman" w:cs="Times New Roman"/>
          <w:sz w:val="24"/>
          <w:szCs w:val="24"/>
        </w:rPr>
        <w:t xml:space="preserve">δεν είναι οπωσδήποτε (κατ’ αμάχητο τεκμήριο) απαγορευμένες κατ’ άρθρο 102 ΣΛΕΕ, αλλά η </w:t>
      </w:r>
      <w:r w:rsidR="00E66247">
        <w:rPr>
          <w:rFonts w:ascii="Times New Roman" w:hAnsi="Times New Roman" w:cs="Times New Roman"/>
          <w:sz w:val="24"/>
          <w:szCs w:val="24"/>
        </w:rPr>
        <w:t xml:space="preserve">(τελική) νομιμότητα της εν λόγω πρακτικής μπορεί να βασιστεί σε στοιχεία που θα προσκομιστούν από τη δεσπόζουσα επιχείρηση και θα τη δικαιολογούν αντικειμενικά. </w:t>
      </w:r>
    </w:p>
    <w:p w:rsidR="00361807" w:rsidRDefault="00361807" w:rsidP="00282692">
      <w:pPr>
        <w:spacing w:after="0" w:line="240" w:lineRule="auto"/>
        <w:ind w:firstLine="720"/>
        <w:jc w:val="both"/>
        <w:rPr>
          <w:rFonts w:ascii="Times New Roman" w:hAnsi="Times New Roman" w:cs="Times New Roman"/>
          <w:sz w:val="24"/>
          <w:szCs w:val="24"/>
        </w:rPr>
      </w:pPr>
    </w:p>
    <w:p w:rsidR="00A835F5" w:rsidRPr="00282692" w:rsidRDefault="00A835F5" w:rsidP="00282692">
      <w:pPr>
        <w:spacing w:after="0" w:line="240" w:lineRule="auto"/>
        <w:ind w:firstLine="720"/>
        <w:jc w:val="both"/>
        <w:rPr>
          <w:rFonts w:ascii="Times New Roman" w:hAnsi="Times New Roman" w:cs="Times New Roman"/>
          <w:sz w:val="24"/>
          <w:szCs w:val="24"/>
        </w:rPr>
      </w:pPr>
    </w:p>
    <w:p w:rsidR="00454B8D" w:rsidRDefault="00454B8D" w:rsidP="00282692">
      <w:pPr>
        <w:spacing w:line="240" w:lineRule="auto"/>
        <w:rPr>
          <w:rFonts w:ascii="Times New Roman" w:hAnsi="Times New Roman" w:cs="Times New Roman"/>
          <w:sz w:val="24"/>
          <w:szCs w:val="24"/>
        </w:rPr>
      </w:pPr>
    </w:p>
    <w:p w:rsidR="00D04F91" w:rsidRPr="00282692" w:rsidRDefault="00D04F91" w:rsidP="00282692">
      <w:pPr>
        <w:spacing w:line="240" w:lineRule="auto"/>
        <w:rPr>
          <w:rFonts w:ascii="Times New Roman" w:hAnsi="Times New Roman" w:cs="Times New Roman"/>
          <w:b/>
          <w:sz w:val="24"/>
          <w:szCs w:val="24"/>
        </w:rPr>
      </w:pPr>
    </w:p>
    <w:p w:rsidR="00454B8D" w:rsidRDefault="00454B8D">
      <w:pPr>
        <w:rPr>
          <w:rFonts w:ascii="Times New Roman" w:hAnsi="Times New Roman" w:cs="Times New Roman"/>
          <w:b/>
          <w:sz w:val="24"/>
          <w:szCs w:val="24"/>
        </w:rPr>
      </w:pPr>
      <w:r>
        <w:rPr>
          <w:rFonts w:ascii="Times New Roman" w:hAnsi="Times New Roman" w:cs="Times New Roman"/>
          <w:b/>
          <w:sz w:val="24"/>
          <w:szCs w:val="24"/>
        </w:rPr>
        <w:br w:type="page"/>
      </w:r>
    </w:p>
    <w:p w:rsidR="00542CF1" w:rsidRPr="00282692" w:rsidRDefault="00B90451" w:rsidP="002826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IV</w:t>
      </w:r>
      <w:r w:rsidR="00542CF1" w:rsidRPr="00282692">
        <w:rPr>
          <w:rFonts w:ascii="Times New Roman" w:hAnsi="Times New Roman" w:cs="Times New Roman"/>
          <w:b/>
          <w:sz w:val="24"/>
          <w:szCs w:val="24"/>
        </w:rPr>
        <w:t>. Εφαρμογή των αρχών της οικονομικής ανάλυσης κατά την εφαρμογή του Κανονισμού 139/2004</w:t>
      </w:r>
    </w:p>
    <w:p w:rsidR="00542CF1" w:rsidRPr="00282692" w:rsidRDefault="00542CF1" w:rsidP="00282692">
      <w:pPr>
        <w:spacing w:after="0" w:line="240" w:lineRule="auto"/>
        <w:jc w:val="both"/>
        <w:rPr>
          <w:rFonts w:ascii="Times New Roman" w:hAnsi="Times New Roman" w:cs="Times New Roman"/>
          <w:b/>
          <w:sz w:val="24"/>
          <w:szCs w:val="24"/>
        </w:rPr>
      </w:pPr>
    </w:p>
    <w:p w:rsidR="00CC69F5" w:rsidRPr="00282692" w:rsidRDefault="00AC436B" w:rsidP="002826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CC69F5" w:rsidRPr="00282692">
        <w:rPr>
          <w:rFonts w:ascii="Times New Roman" w:hAnsi="Times New Roman" w:cs="Times New Roman"/>
          <w:b/>
          <w:sz w:val="24"/>
          <w:szCs w:val="24"/>
        </w:rPr>
        <w:t xml:space="preserve"> Εισαγωγικά</w:t>
      </w:r>
    </w:p>
    <w:p w:rsidR="00CC69F5" w:rsidRPr="00282692" w:rsidRDefault="00CC69F5" w:rsidP="00282692">
      <w:pPr>
        <w:spacing w:after="0" w:line="240" w:lineRule="auto"/>
        <w:jc w:val="both"/>
        <w:rPr>
          <w:rFonts w:ascii="Times New Roman" w:hAnsi="Times New Roman" w:cs="Times New Roman"/>
          <w:b/>
          <w:sz w:val="24"/>
          <w:szCs w:val="24"/>
        </w:rPr>
      </w:pPr>
    </w:p>
    <w:p w:rsidR="00CC69F5" w:rsidRPr="00282692" w:rsidRDefault="008D7439"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Στο ενωσιακό δίκαιο ανταγωνισμού, ο έλεγχος συγκεντρώσεων επιχειρήσεων ρυθμίζεται </w:t>
      </w:r>
      <w:r w:rsidR="009853B0" w:rsidRPr="00282692">
        <w:rPr>
          <w:rFonts w:ascii="Times New Roman" w:hAnsi="Times New Roman" w:cs="Times New Roman"/>
          <w:sz w:val="24"/>
          <w:szCs w:val="24"/>
        </w:rPr>
        <w:t xml:space="preserve">στον Κανονισμό 139/2004. Σύμφωνα με τον Κανονισμό αυτό, οι εταιρείες που προβαίνουν σε μια εξαγορά ή μια συγχώνευση που συνεπάγεται μόνιμη μεταβολή </w:t>
      </w:r>
      <w:r w:rsidR="00CC69F5" w:rsidRPr="00282692">
        <w:rPr>
          <w:rFonts w:ascii="Times New Roman" w:hAnsi="Times New Roman" w:cs="Times New Roman"/>
          <w:sz w:val="24"/>
          <w:szCs w:val="24"/>
        </w:rPr>
        <w:t xml:space="preserve">του ελέγχου είναι υποχρεωμένες να προβούν σε προληπτική γνωστοποίηση αυτής της πράξης ενώπιον της Ευρωπαϊκής Επιτροπής στο βαθμό που πληρούνται συγκεκριμένα ποσοτικά κριτήρια ως προς τους κύκλους εργασιών. </w:t>
      </w:r>
    </w:p>
    <w:p w:rsidR="00FE6028" w:rsidRPr="00282692" w:rsidRDefault="00CC69F5"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Ειδικότερα, </w:t>
      </w:r>
      <w:r w:rsidR="00671209" w:rsidRPr="00282692">
        <w:rPr>
          <w:rFonts w:ascii="Times New Roman" w:hAnsi="Times New Roman" w:cs="Times New Roman"/>
          <w:sz w:val="24"/>
          <w:szCs w:val="24"/>
        </w:rPr>
        <w:t xml:space="preserve">η πολιτική της Ευρωπαϊκής Ένωσης στον τομέα των συγκεντρώσεων ενέχει προληπτική δράση και βασίζεται στην υπόθεση ότι η δομή της αγοράς (αριθμός και μέγεθος επιχειρήσεων, βαθμός κάθετης ολοκλήρωσης) επηρεάζει τη συμπεριφορά (στρατηγικές ανταγωνισμού), η οποία στη συνέχεια καθορίζει την επίδοσή της (κερδοφορία, επενδυτική δραστηριότητα). Στόχος της πολιτικής συγκεντρώσεων είναι η αποτροπή εμφάνισης μελλοντικών αντι-ανταγωνιστικών συμπεριφορών ελέγχοντας στο παρόν τη διάρθρωση της αγοράς στην οποία λειτουργούν οι επιχειρήσεις. Με άλλα λόγια, μια αρχή ανταγωνισμού, η οποία είναι επιφορτισμένη με τον προληπτικό έλεγχο συγκεντρώσεων, μπορεί να αποτρέψει ή να επιτρέψει, στη βάση λήψης διορθωτικών μέτρων, από τις συμμετέχουσες εταιρείες κάποιες συγχωνεύσεις και εξαγορές που θα μείωναν το πλεόνασμα του </w:t>
      </w:r>
      <w:r w:rsidR="00FE6028" w:rsidRPr="00282692">
        <w:rPr>
          <w:rFonts w:ascii="Times New Roman" w:hAnsi="Times New Roman" w:cs="Times New Roman"/>
          <w:sz w:val="24"/>
          <w:szCs w:val="24"/>
        </w:rPr>
        <w:t>καταναλωτή και, συνεπώς, την κοινωνική ευημερία.</w:t>
      </w:r>
    </w:p>
    <w:p w:rsidR="00477C0E" w:rsidRPr="00282692" w:rsidRDefault="00FE6028"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Συγκέντρωση επιχειρήσεων πραγματοποιείται όταν ένα ή περισσότερα πρόσωπα που ελέγχουν ήδη τουλάχιστον μια ή περισσότερες επιχειρήσεις αποκτούν άμεσα ή έμμεσα τον έλεγχο του συνόλου ή τμημάτων μιας ή περισσοτέρων άλλων επιχειρήσεων. Ο έλεγχος μπορεί να απορρέει από δικαιώματα, συμβάσεις ή άλλα μέσα, τα οποία είτε μεμονωμένα είτε από κοινού με άλλα και λαμβανομένων υπόψη των σχετικών πραγματικών ή νομικών συνθηκών παρέχουν τη δυνατότητα καθοριστικής επίδρασης στη δραστηριότητα μιας επιχείρησης. Η καθοριστική επίδραση στη δραστηριότητα μιας επιχείρησης μπορεί να υλοποιείται είτε μέσω δικαιωμάτων κυριότητας ή επικαρπίας επί του συνόλου ή μέρους των περιουσιακών στοιχείων της επιχείρησης</w:t>
      </w:r>
      <w:r w:rsidR="00477C0E" w:rsidRPr="00282692">
        <w:rPr>
          <w:rFonts w:ascii="Times New Roman" w:hAnsi="Times New Roman" w:cs="Times New Roman"/>
          <w:sz w:val="24"/>
          <w:szCs w:val="24"/>
        </w:rPr>
        <w:t xml:space="preserve"> είτε μέσω δικαιωμάτων ή συμβάσεων που παρέχουν δυνατότητα καθοριστικής επίδρασης στη σύνθεση, στις συσκέψεις ή στις αποφάσεις των οργάνων της επιχείρησης.</w:t>
      </w:r>
    </w:p>
    <w:p w:rsidR="00951804" w:rsidRPr="00282692" w:rsidRDefault="00951804"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Οι συγκεντρώσεις κατά το δίκαιο του ανταγωνισμού μπορούν να λάβουν τις ακόλουθες μορφές:</w:t>
      </w:r>
    </w:p>
    <w:p w:rsidR="009E7C7E" w:rsidRPr="00282692" w:rsidRDefault="00951804"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α) Συγχωνεύσεις. Με τον όρο «συγχώνευση»</w:t>
      </w:r>
      <w:r w:rsidR="009E7C7E" w:rsidRPr="00282692">
        <w:rPr>
          <w:rFonts w:ascii="Times New Roman" w:hAnsi="Times New Roman" w:cs="Times New Roman"/>
          <w:sz w:val="24"/>
          <w:szCs w:val="24"/>
        </w:rPr>
        <w:t xml:space="preserve"> νοείται</w:t>
      </w:r>
      <w:r w:rsidRPr="00282692">
        <w:rPr>
          <w:rFonts w:ascii="Times New Roman" w:hAnsi="Times New Roman" w:cs="Times New Roman"/>
          <w:sz w:val="24"/>
          <w:szCs w:val="24"/>
        </w:rPr>
        <w:t xml:space="preserve"> η συνένωση δύο ή περισσότερων προηγουμένως ανεξάρτητων επιχειρήσεων (</w:t>
      </w:r>
      <w:r w:rsidR="00940523" w:rsidRPr="00282692">
        <w:rPr>
          <w:rFonts w:ascii="Times New Roman" w:hAnsi="Times New Roman" w:cs="Times New Roman"/>
          <w:sz w:val="24"/>
          <w:szCs w:val="24"/>
          <w:lang w:val="en-US"/>
        </w:rPr>
        <w:t>AEGEAN</w:t>
      </w:r>
      <w:r w:rsidR="00940523" w:rsidRPr="00282692">
        <w:rPr>
          <w:rFonts w:ascii="Times New Roman" w:hAnsi="Times New Roman" w:cs="Times New Roman"/>
          <w:sz w:val="24"/>
          <w:szCs w:val="24"/>
        </w:rPr>
        <w:t>/</w:t>
      </w:r>
      <w:r w:rsidR="00940523" w:rsidRPr="00282692">
        <w:rPr>
          <w:rFonts w:ascii="Times New Roman" w:hAnsi="Times New Roman" w:cs="Times New Roman"/>
          <w:sz w:val="24"/>
          <w:szCs w:val="24"/>
          <w:lang w:val="en-US"/>
        </w:rPr>
        <w:t>CRONUSAIRLINES</w:t>
      </w:r>
      <w:r w:rsidR="00940523" w:rsidRPr="00282692">
        <w:rPr>
          <w:rFonts w:ascii="Times New Roman" w:hAnsi="Times New Roman" w:cs="Times New Roman"/>
          <w:sz w:val="24"/>
          <w:szCs w:val="24"/>
        </w:rPr>
        <w:t xml:space="preserve">, </w:t>
      </w:r>
      <w:r w:rsidRPr="00282692">
        <w:rPr>
          <w:rFonts w:ascii="Times New Roman" w:hAnsi="Times New Roman" w:cs="Times New Roman"/>
          <w:sz w:val="24"/>
          <w:szCs w:val="24"/>
        </w:rPr>
        <w:t>ΔΕΛΤΑ/</w:t>
      </w:r>
      <w:r w:rsidRPr="00282692">
        <w:rPr>
          <w:rFonts w:ascii="Times New Roman" w:hAnsi="Times New Roman" w:cs="Times New Roman"/>
          <w:sz w:val="24"/>
          <w:szCs w:val="24"/>
          <w:lang w:val="en-US"/>
        </w:rPr>
        <w:t>CHIPITA</w:t>
      </w:r>
      <w:r w:rsidRPr="00282692">
        <w:rPr>
          <w:rFonts w:ascii="Times New Roman" w:hAnsi="Times New Roman" w:cs="Times New Roman"/>
          <w:sz w:val="24"/>
          <w:szCs w:val="24"/>
        </w:rPr>
        <w:t xml:space="preserve">, </w:t>
      </w:r>
      <w:r w:rsidRPr="00282692">
        <w:rPr>
          <w:rFonts w:ascii="Times New Roman" w:hAnsi="Times New Roman" w:cs="Times New Roman"/>
          <w:sz w:val="24"/>
          <w:szCs w:val="24"/>
          <w:lang w:val="en-US"/>
        </w:rPr>
        <w:t>PANAFON</w:t>
      </w:r>
      <w:r w:rsidRPr="00282692">
        <w:rPr>
          <w:rFonts w:ascii="Times New Roman" w:hAnsi="Times New Roman" w:cs="Times New Roman"/>
          <w:sz w:val="24"/>
          <w:szCs w:val="24"/>
        </w:rPr>
        <w:t>/</w:t>
      </w:r>
      <w:r w:rsidRPr="00282692">
        <w:rPr>
          <w:rFonts w:ascii="Times New Roman" w:hAnsi="Times New Roman" w:cs="Times New Roman"/>
          <w:sz w:val="24"/>
          <w:szCs w:val="24"/>
          <w:lang w:val="en-US"/>
        </w:rPr>
        <w:t>UNIFON</w:t>
      </w:r>
      <w:r w:rsidRPr="00282692">
        <w:rPr>
          <w:rFonts w:ascii="Times New Roman" w:hAnsi="Times New Roman" w:cs="Times New Roman"/>
          <w:sz w:val="24"/>
          <w:szCs w:val="24"/>
        </w:rPr>
        <w:t xml:space="preserve">). </w:t>
      </w:r>
      <w:r w:rsidRPr="00E044C6">
        <w:rPr>
          <w:rFonts w:ascii="Times New Roman" w:hAnsi="Times New Roman" w:cs="Times New Roman"/>
          <w:b/>
          <w:sz w:val="24"/>
          <w:szCs w:val="24"/>
          <w:u w:val="single"/>
        </w:rPr>
        <w:t>Συμβαίνει όταν μια επιχείρηση αγοράζει μια άλλη και την απορροφά σε μια ενιαία επιχειρησιακή δομή</w:t>
      </w:r>
      <w:r w:rsidR="009E7C7E" w:rsidRPr="00E044C6">
        <w:rPr>
          <w:rFonts w:ascii="Times New Roman" w:hAnsi="Times New Roman" w:cs="Times New Roman"/>
          <w:b/>
          <w:sz w:val="24"/>
          <w:szCs w:val="24"/>
          <w:u w:val="single"/>
        </w:rPr>
        <w:t>, με διατήρηση συνήθως της εταιρικής ταυτότητας της εξαγοράζουσας επιχείρησης.</w:t>
      </w:r>
      <w:r w:rsidR="009E7C7E" w:rsidRPr="00282692">
        <w:rPr>
          <w:rFonts w:ascii="Times New Roman" w:hAnsi="Times New Roman" w:cs="Times New Roman"/>
          <w:sz w:val="24"/>
          <w:szCs w:val="24"/>
        </w:rPr>
        <w:t xml:space="preserve"> Οι συγχωνεύσεις αντιστοιχούν σε διαφορετικές μορφές επιχειρησιακής ολοκλήρωσης. Συνεπώς, η επιχειρησιακή ολοκλήρωση μπορεί να είναι κάθετη, οριζόντια ή συνδυασμός ετερόκλητων δραστηριοτήτων (</w:t>
      </w:r>
      <w:r w:rsidR="009E7C7E" w:rsidRPr="00282692">
        <w:rPr>
          <w:rFonts w:ascii="Times New Roman" w:hAnsi="Times New Roman" w:cs="Times New Roman"/>
          <w:sz w:val="24"/>
          <w:szCs w:val="24"/>
          <w:lang w:val="en-US"/>
        </w:rPr>
        <w:t>conglomeratemergers</w:t>
      </w:r>
      <w:r w:rsidR="009E7C7E" w:rsidRPr="00282692">
        <w:rPr>
          <w:rFonts w:ascii="Times New Roman" w:hAnsi="Times New Roman" w:cs="Times New Roman"/>
          <w:sz w:val="24"/>
          <w:szCs w:val="24"/>
        </w:rPr>
        <w:t>). Η υλοποίηση της συγχώνευσης μπορεί να πάρει διαφορετικές μορφές στην πράξη. Μπορεί να είναι άμεση ή σταδιακή, ολική ή επιλεκτική, οδηγώντας αντίστοιχα σε ολική ή μερική συνένωση μονάδων, καταστημάτων ή υπηρεσιών (ιδίως με μεταπώληση κάποιων και με κλείσιμο άλλων).</w:t>
      </w:r>
    </w:p>
    <w:p w:rsidR="00940523" w:rsidRPr="00282692" w:rsidRDefault="009E7C7E"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lastRenderedPageBreak/>
        <w:t xml:space="preserve">β) Εξαγορές. </w:t>
      </w:r>
      <w:r w:rsidRPr="00E044C6">
        <w:rPr>
          <w:rFonts w:ascii="Times New Roman" w:hAnsi="Times New Roman" w:cs="Times New Roman"/>
          <w:b/>
          <w:sz w:val="24"/>
          <w:szCs w:val="24"/>
          <w:u w:val="single"/>
        </w:rPr>
        <w:t>Με τον όρο «εξαγορές» νοείται η μεταβίβαση του συνόλου ή πλειοψηφικού μέρους της ιδιοκτησίας μιας επιχείρησης (εξαγοραζόμενη) σε μια άλλη (εξαγοράζουσα), η οποία καταβάλλει το αντίστοιχο τίμημα.</w:t>
      </w:r>
      <w:r w:rsidRPr="00282692">
        <w:rPr>
          <w:rFonts w:ascii="Times New Roman" w:hAnsi="Times New Roman" w:cs="Times New Roman"/>
          <w:sz w:val="24"/>
          <w:szCs w:val="24"/>
        </w:rPr>
        <w:t xml:space="preserve"> Με </w:t>
      </w:r>
      <w:r w:rsidR="00940523" w:rsidRPr="00282692">
        <w:rPr>
          <w:rFonts w:ascii="Times New Roman" w:hAnsi="Times New Roman" w:cs="Times New Roman"/>
          <w:sz w:val="24"/>
          <w:szCs w:val="24"/>
        </w:rPr>
        <w:t>τη μεταβίβαση αυτή, μεταβιβάζεται και ο έλεγχος της εξαγοραζόμενης (Εμπορική Τράπεζα/</w:t>
      </w:r>
      <w:r w:rsidR="00940523" w:rsidRPr="00282692">
        <w:rPr>
          <w:rFonts w:ascii="Times New Roman" w:hAnsi="Times New Roman" w:cs="Times New Roman"/>
          <w:sz w:val="24"/>
          <w:szCs w:val="24"/>
          <w:lang w:val="en-US"/>
        </w:rPr>
        <w:t>AlphaBank</w:t>
      </w:r>
      <w:r w:rsidR="00940523" w:rsidRPr="00282692">
        <w:rPr>
          <w:rFonts w:ascii="Times New Roman" w:hAnsi="Times New Roman" w:cs="Times New Roman"/>
          <w:sz w:val="24"/>
          <w:szCs w:val="24"/>
        </w:rPr>
        <w:t xml:space="preserve">, BP Hellas/ΕΛ.ΠΕ, </w:t>
      </w:r>
      <w:r w:rsidR="00940523" w:rsidRPr="00282692">
        <w:rPr>
          <w:rFonts w:ascii="Times New Roman" w:hAnsi="Times New Roman" w:cs="Times New Roman"/>
          <w:sz w:val="24"/>
          <w:szCs w:val="24"/>
          <w:lang w:val="en-US"/>
        </w:rPr>
        <w:t>ShellHellas</w:t>
      </w:r>
      <w:r w:rsidR="00940523" w:rsidRPr="00282692">
        <w:rPr>
          <w:rFonts w:ascii="Times New Roman" w:hAnsi="Times New Roman" w:cs="Times New Roman"/>
          <w:sz w:val="24"/>
          <w:szCs w:val="24"/>
        </w:rPr>
        <w:t>/</w:t>
      </w:r>
      <w:r w:rsidR="00940523" w:rsidRPr="00282692">
        <w:rPr>
          <w:rFonts w:ascii="Times New Roman" w:hAnsi="Times New Roman" w:cs="Times New Roman"/>
          <w:sz w:val="24"/>
          <w:szCs w:val="24"/>
          <w:lang w:val="en-US"/>
        </w:rPr>
        <w:t>MotorOilHellasA</w:t>
      </w:r>
      <w:r w:rsidR="00940523" w:rsidRPr="00282692">
        <w:rPr>
          <w:rFonts w:ascii="Times New Roman" w:hAnsi="Times New Roman" w:cs="Times New Roman"/>
          <w:sz w:val="24"/>
          <w:szCs w:val="24"/>
        </w:rPr>
        <w:t>.</w:t>
      </w:r>
      <w:r w:rsidR="00940523" w:rsidRPr="00282692">
        <w:rPr>
          <w:rFonts w:ascii="Times New Roman" w:hAnsi="Times New Roman" w:cs="Times New Roman"/>
          <w:sz w:val="24"/>
          <w:szCs w:val="24"/>
          <w:lang w:val="en-US"/>
        </w:rPr>
        <w:t>E</w:t>
      </w:r>
      <w:r w:rsidR="00940523" w:rsidRPr="00282692">
        <w:rPr>
          <w:rFonts w:ascii="Times New Roman" w:hAnsi="Times New Roman" w:cs="Times New Roman"/>
          <w:sz w:val="24"/>
          <w:szCs w:val="24"/>
        </w:rPr>
        <w:t>.). Η μεταβίβαση γίνεται συνήθως με καταβολή μετρητών ή με αγορά/ανταλλαγή μετοχών μέσω του Χρηματιστηρίου. Σε πολλές περιπτώσεις, ακόμα και η απόκτηση μειοψηφικού πακέτου μετοχών ή ανάλογου ποσοστού επί της συνολικής ιδιοκτησίας μπορεί να εξασφαλίζει στην εξαγοράζουσα επιχείρηση ουσιαστικό έλεγχο, εάν, κατόπιν της μεταβίβασης, η εξαγοράζουσα επιχείρηση μπορεί να επηρεάσει κρίσιμες επιλογές του διοικητικού οργάνου και γενικά τη στρατηγική της εξαγοραζόμενης ή αν τα λοιπά μερίδια ιδιοκτησίας της τελευταίας επιχείρησης είναι κατακερματισμένα.</w:t>
      </w:r>
    </w:p>
    <w:p w:rsidR="0026304B" w:rsidRPr="00282692" w:rsidRDefault="00940523"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γ) Κοινές επιχειρήσεις (</w:t>
      </w:r>
      <w:r w:rsidRPr="00282692">
        <w:rPr>
          <w:rFonts w:ascii="Times New Roman" w:hAnsi="Times New Roman" w:cs="Times New Roman"/>
          <w:sz w:val="24"/>
          <w:szCs w:val="24"/>
          <w:lang w:val="en-US"/>
        </w:rPr>
        <w:t>jointventures</w:t>
      </w:r>
      <w:r w:rsidRPr="00282692">
        <w:rPr>
          <w:rFonts w:ascii="Times New Roman" w:hAnsi="Times New Roman" w:cs="Times New Roman"/>
          <w:sz w:val="24"/>
          <w:szCs w:val="24"/>
        </w:rPr>
        <w:t xml:space="preserve">). </w:t>
      </w:r>
      <w:r w:rsidRPr="00E044C6">
        <w:rPr>
          <w:rFonts w:ascii="Times New Roman" w:hAnsi="Times New Roman" w:cs="Times New Roman"/>
          <w:b/>
          <w:sz w:val="24"/>
          <w:szCs w:val="24"/>
        </w:rPr>
        <w:t xml:space="preserve">Η μορφή αυτή συνίσταται στη δημιουργία κοινής επιχείρησης </w:t>
      </w:r>
      <w:r w:rsidR="0026304B" w:rsidRPr="00E044C6">
        <w:rPr>
          <w:rFonts w:ascii="Times New Roman" w:hAnsi="Times New Roman" w:cs="Times New Roman"/>
          <w:b/>
          <w:sz w:val="24"/>
          <w:szCs w:val="24"/>
        </w:rPr>
        <w:t>μεταξύ δύο ανεξάρτητων επιχειρήσεων, η οποία (κοινή επιχείρηση) λειτουργεί ως αυτόνομη οικονομική οντότητα</w:t>
      </w:r>
      <w:r w:rsidR="0026304B" w:rsidRPr="00282692">
        <w:rPr>
          <w:rFonts w:ascii="Times New Roman" w:hAnsi="Times New Roman" w:cs="Times New Roman"/>
          <w:sz w:val="24"/>
          <w:szCs w:val="24"/>
        </w:rPr>
        <w:t xml:space="preserve"> (ΔΕΗ-ΤΕΡΝΑ ΕΝΕΡΓΕΙΑΚΗ, </w:t>
      </w:r>
      <w:proofErr w:type="spellStart"/>
      <w:r w:rsidR="0026304B" w:rsidRPr="00282692">
        <w:rPr>
          <w:rFonts w:ascii="Times New Roman" w:hAnsi="Times New Roman" w:cs="Times New Roman"/>
          <w:sz w:val="24"/>
          <w:szCs w:val="24"/>
          <w:lang w:val="en-US"/>
        </w:rPr>
        <w:t>KorinthosPower</w:t>
      </w:r>
      <w:proofErr w:type="spellEnd"/>
      <w:r w:rsidR="0026304B" w:rsidRPr="00282692">
        <w:rPr>
          <w:rFonts w:ascii="Times New Roman" w:hAnsi="Times New Roman" w:cs="Times New Roman"/>
          <w:sz w:val="24"/>
          <w:szCs w:val="24"/>
        </w:rPr>
        <w:t xml:space="preserve">, </w:t>
      </w:r>
      <w:proofErr w:type="spellStart"/>
      <w:r w:rsidR="0026304B" w:rsidRPr="00282692">
        <w:rPr>
          <w:rFonts w:ascii="Times New Roman" w:hAnsi="Times New Roman" w:cs="Times New Roman"/>
          <w:sz w:val="24"/>
          <w:szCs w:val="24"/>
          <w:lang w:val="en-US"/>
        </w:rPr>
        <w:t>Elpedison</w:t>
      </w:r>
      <w:proofErr w:type="spellEnd"/>
      <w:r w:rsidR="0026304B" w:rsidRPr="00282692">
        <w:rPr>
          <w:rFonts w:ascii="Times New Roman" w:hAnsi="Times New Roman" w:cs="Times New Roman"/>
          <w:sz w:val="24"/>
          <w:szCs w:val="24"/>
        </w:rPr>
        <w:t>, ΔΕΗ/Χαλυμβουργική, ΔΕΗ-</w:t>
      </w:r>
      <w:r w:rsidR="0026304B" w:rsidRPr="00282692">
        <w:rPr>
          <w:rFonts w:ascii="Times New Roman" w:hAnsi="Times New Roman" w:cs="Times New Roman"/>
          <w:sz w:val="24"/>
          <w:szCs w:val="24"/>
          <w:lang w:val="en-US"/>
        </w:rPr>
        <w:t>DAMCO</w:t>
      </w:r>
      <w:r w:rsidR="0026304B" w:rsidRPr="00282692">
        <w:rPr>
          <w:rFonts w:ascii="Times New Roman" w:hAnsi="Times New Roman" w:cs="Times New Roman"/>
          <w:sz w:val="24"/>
          <w:szCs w:val="24"/>
        </w:rPr>
        <w:t>).</w:t>
      </w:r>
    </w:p>
    <w:p w:rsidR="00542CF1" w:rsidRPr="00282692" w:rsidRDefault="0026304B"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Σύμφωνα με τον Κανονισμό 139/2004, μ</w:t>
      </w:r>
      <w:r w:rsidR="00CC69F5" w:rsidRPr="00282692">
        <w:rPr>
          <w:rFonts w:ascii="Times New Roman" w:hAnsi="Times New Roman" w:cs="Times New Roman"/>
          <w:sz w:val="24"/>
          <w:szCs w:val="24"/>
        </w:rPr>
        <w:t>ια συγκέντρωση έχει ευρωπαϊκή διάσταση και πρέπει να γνωστοποιηθεί στην Ευρωπαϊκή Επιτροπή όταν ο συνολικός πραγματοποιηθείς κύκλος εργασ</w:t>
      </w:r>
      <w:r w:rsidR="00E044C6">
        <w:rPr>
          <w:rFonts w:ascii="Times New Roman" w:hAnsi="Times New Roman" w:cs="Times New Roman"/>
          <w:sz w:val="24"/>
          <w:szCs w:val="24"/>
        </w:rPr>
        <w:t>ιών σε παγκόσμιο επίπεδο από το</w:t>
      </w:r>
      <w:r w:rsidR="00CC69F5" w:rsidRPr="00282692">
        <w:rPr>
          <w:rFonts w:ascii="Times New Roman" w:hAnsi="Times New Roman" w:cs="Times New Roman"/>
          <w:sz w:val="24"/>
          <w:szCs w:val="24"/>
        </w:rPr>
        <w:t xml:space="preserve"> σύνολο των συγκεντρωθεισών εταιρειών υπερβαίνει ποσό 5 δισεκατ. ευρώ και</w:t>
      </w:r>
      <w:r w:rsidRPr="00282692">
        <w:rPr>
          <w:rFonts w:ascii="Times New Roman" w:hAnsi="Times New Roman" w:cs="Times New Roman"/>
          <w:sz w:val="24"/>
          <w:szCs w:val="24"/>
        </w:rPr>
        <w:t>, επιπλέον,</w:t>
      </w:r>
      <w:r w:rsidR="00CC69F5" w:rsidRPr="00282692">
        <w:rPr>
          <w:rFonts w:ascii="Times New Roman" w:hAnsi="Times New Roman" w:cs="Times New Roman"/>
          <w:sz w:val="24"/>
          <w:szCs w:val="24"/>
        </w:rPr>
        <w:t xml:space="preserve"> ο συνολικός κύκλος εργασιών στην ΕΕ από τουλάχιστον 2 εταιρείες που αφορά η συγκέντρωση υπερβαίνει τα 250 εκατ. ευρώ, εκτός από την περίπτωση κατά την οποία μια από τις εταιρείες αυτές πραγματοποιεί περισσότερο από τα 2/3 του συνολικού κύκλου εργασιών της στην ΕΕ σε μία μόνο χώρα της ΕΕ. </w:t>
      </w:r>
    </w:p>
    <w:p w:rsidR="00CC69F5" w:rsidRPr="00282692" w:rsidRDefault="00CC69F5"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Ακόμα και αν δεν συντρέχουν τα προαναφερθέντα ανώτατα όρια, πρόκειται για συγκέντρωση ευρωπαϊκής διάστασης, εάν συντρέχουν οι ακόλουθες προϋποθέσεις:</w:t>
      </w:r>
    </w:p>
    <w:p w:rsidR="00CC69F5" w:rsidRPr="00282692" w:rsidRDefault="00CC69F5"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α) ο συνολικά πραγματοποιηθείς κύκλος εργασιών σε παγκόσμιο επίπεδο από όλες τις υπό εξέταση εταιρείες ανέρχεται σε ποσό άνω των 2,5 δις. ευρώ·</w:t>
      </w:r>
    </w:p>
    <w:p w:rsidR="00CC69F5" w:rsidRPr="00282692" w:rsidRDefault="00CC69F5"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β) ο συνολικά πραγματοποιηθείς κύκλος εργασιών σε καθεμία από τουλάχιστον 3 χώρες της ΕΕ από όλες τις υπό εξέταση εταιρείες υπερβαίνει τα 100 εκατ. ευρώ·</w:t>
      </w:r>
    </w:p>
    <w:p w:rsidR="00CC69F5" w:rsidRPr="00282692" w:rsidRDefault="00CC69F5"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γ) ο συνολικά πραγματοποιηθείς κύκλος εργασιών σε καθεμία από τουλάχιστον 3 χώρες της ΕΕ, μεμονωμένα από τουλάχιστον 2 υπό εξέταση εταιρείες υπερβαίνει τα 25 εκατ. ευρώ·</w:t>
      </w:r>
    </w:p>
    <w:p w:rsidR="00CC69F5" w:rsidRPr="00282692" w:rsidRDefault="00CC69F5"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δ) ο συνολικά πραγματοποιηθείς κύκλος εργασιών στην ΕΕ μεμονωμένα από τουλάχιστον 2 υπό εξέταση εταιρείες υπερβαίνει τα 100 εκατ. ευρώ, εκτός από την περίπτωση που καθεμία από τις υπό εξέταση εταιρείες πραγματοποιεί πάνω από τα 2/3 του κύκλου εργασιών της στην ΕΕ, σε μία μόνο χώρα της ΕΕ.</w:t>
      </w:r>
    </w:p>
    <w:p w:rsidR="0026304B" w:rsidRDefault="001C224E"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Οι συγκεντρώσεις διακρίνονται σε οριζόντιες, οι οποίες συνάπτονται μεταξύ επιχειρήσεων που είναι πραγματικοί ή δυνητικοί ανταγωνιστές</w:t>
      </w:r>
      <w:r w:rsidRPr="00282692">
        <w:rPr>
          <w:rStyle w:val="FootnoteReference"/>
          <w:rFonts w:ascii="Times New Roman" w:hAnsi="Times New Roman" w:cs="Times New Roman"/>
          <w:sz w:val="24"/>
          <w:szCs w:val="24"/>
        </w:rPr>
        <w:footnoteReference w:id="205"/>
      </w:r>
      <w:r w:rsidRPr="00282692">
        <w:rPr>
          <w:rFonts w:ascii="Times New Roman" w:hAnsi="Times New Roman" w:cs="Times New Roman"/>
          <w:sz w:val="24"/>
          <w:szCs w:val="24"/>
        </w:rPr>
        <w:t xml:space="preserve">, και σε μη οριζόντιες, οι οποίες συνάπτονται μεταξύ επιχειρήσεων που δραστηριοποιούνται σε διαφορετική βαθμίδα της αλυσίδας εφοδιασμού (κάθετες συγκεντρώσεις) ή μεταξύ επιχειρήσεων που δεν έχουν οριζόντια ή κάθετη σχέση αλλά ασκούν ετερογενείς και </w:t>
      </w:r>
      <w:r w:rsidRPr="00282692">
        <w:rPr>
          <w:rFonts w:ascii="Times New Roman" w:hAnsi="Times New Roman" w:cs="Times New Roman"/>
          <w:sz w:val="24"/>
          <w:szCs w:val="24"/>
        </w:rPr>
        <w:lastRenderedPageBreak/>
        <w:t>συγχρόνως συσχετιζόμενες δραστηριότητες</w:t>
      </w:r>
      <w:r w:rsidRPr="00282692">
        <w:rPr>
          <w:rStyle w:val="FootnoteReference"/>
          <w:rFonts w:ascii="Times New Roman" w:hAnsi="Times New Roman" w:cs="Times New Roman"/>
          <w:sz w:val="24"/>
          <w:szCs w:val="24"/>
        </w:rPr>
        <w:footnoteReference w:id="206"/>
      </w:r>
      <w:r w:rsidRPr="00282692">
        <w:rPr>
          <w:rFonts w:ascii="Times New Roman" w:hAnsi="Times New Roman" w:cs="Times New Roman"/>
          <w:sz w:val="24"/>
          <w:szCs w:val="24"/>
        </w:rPr>
        <w:t>. Οι οριζόντιες συγκεντρώσεις θεωρούνται, κατά τεκμήριο, πιο επιζήμιες από τις μη οριζόντιες όσον αφορά την παρακώλυση του αποτελεσματικού ανταγωνισμού. Παρά το γεγονός ότι για την αξιολόγηση της καθεμίας από τις δυο αυτές κατηγορίες συγκεντρώσεων ισχύουν κάποιες ειδικές αρχές, εντούτοις η μέθοδος ανάλυσης των αποτελεσμάτων των δύο αυτών κατηγοριών συγκεντρώσεων δεν διαφοροποιείται ουσιαστικά.</w:t>
      </w:r>
    </w:p>
    <w:p w:rsidR="001C224E" w:rsidRPr="00405B4E" w:rsidRDefault="001C224E" w:rsidP="00282692">
      <w:pPr>
        <w:spacing w:after="0" w:line="240" w:lineRule="auto"/>
        <w:ind w:firstLine="720"/>
        <w:jc w:val="both"/>
        <w:rPr>
          <w:rFonts w:ascii="Times New Roman" w:hAnsi="Times New Roman" w:cs="Times New Roman"/>
          <w:sz w:val="24"/>
          <w:szCs w:val="24"/>
        </w:rPr>
      </w:pPr>
    </w:p>
    <w:p w:rsidR="00B90451" w:rsidRPr="00405B4E" w:rsidRDefault="00B90451" w:rsidP="00282692">
      <w:pPr>
        <w:spacing w:after="0" w:line="240" w:lineRule="auto"/>
        <w:ind w:firstLine="720"/>
        <w:jc w:val="both"/>
        <w:rPr>
          <w:rFonts w:ascii="Times New Roman" w:hAnsi="Times New Roman" w:cs="Times New Roman"/>
          <w:sz w:val="24"/>
          <w:szCs w:val="24"/>
        </w:rPr>
      </w:pPr>
    </w:p>
    <w:p w:rsidR="00C36624" w:rsidRPr="00282692" w:rsidRDefault="00AC436B" w:rsidP="002826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C36624" w:rsidRPr="00282692">
        <w:rPr>
          <w:rFonts w:ascii="Times New Roman" w:hAnsi="Times New Roman" w:cs="Times New Roman"/>
          <w:b/>
          <w:sz w:val="24"/>
          <w:szCs w:val="24"/>
        </w:rPr>
        <w:t xml:space="preserve"> Έλεγχος της συμβατότητας των συγκεντρώσεων με τον Κανονισμό</w:t>
      </w:r>
      <w:r w:rsidR="00A46228" w:rsidRPr="00282692">
        <w:rPr>
          <w:rFonts w:ascii="Times New Roman" w:hAnsi="Times New Roman" w:cs="Times New Roman"/>
          <w:b/>
          <w:sz w:val="24"/>
          <w:szCs w:val="24"/>
        </w:rPr>
        <w:t xml:space="preserve"> (ΕΚ)</w:t>
      </w:r>
      <w:r w:rsidR="00C36624" w:rsidRPr="00282692">
        <w:rPr>
          <w:rFonts w:ascii="Times New Roman" w:hAnsi="Times New Roman" w:cs="Times New Roman"/>
          <w:b/>
          <w:sz w:val="24"/>
          <w:szCs w:val="24"/>
        </w:rPr>
        <w:t xml:space="preserve"> 139/2004</w:t>
      </w:r>
    </w:p>
    <w:p w:rsidR="00C36624" w:rsidRPr="00282692" w:rsidRDefault="00C36624" w:rsidP="00282692">
      <w:pPr>
        <w:spacing w:after="0" w:line="240" w:lineRule="auto"/>
        <w:jc w:val="both"/>
        <w:rPr>
          <w:rFonts w:ascii="Times New Roman" w:hAnsi="Times New Roman" w:cs="Times New Roman"/>
          <w:sz w:val="24"/>
          <w:szCs w:val="24"/>
        </w:rPr>
      </w:pPr>
    </w:p>
    <w:p w:rsidR="00C36624" w:rsidRPr="00282692" w:rsidRDefault="00A46228" w:rsidP="00282692">
      <w:pPr>
        <w:spacing w:after="0" w:line="240" w:lineRule="auto"/>
        <w:jc w:val="both"/>
        <w:rPr>
          <w:rFonts w:ascii="Times New Roman" w:hAnsi="Times New Roman" w:cs="Times New Roman"/>
          <w:b/>
          <w:sz w:val="24"/>
          <w:szCs w:val="24"/>
        </w:rPr>
      </w:pPr>
      <w:r w:rsidRPr="00282692">
        <w:rPr>
          <w:rFonts w:ascii="Times New Roman" w:hAnsi="Times New Roman" w:cs="Times New Roman"/>
          <w:b/>
          <w:sz w:val="24"/>
          <w:szCs w:val="24"/>
        </w:rPr>
        <w:t>α) Γενικοί κανόνες αξιολόγησης</w:t>
      </w:r>
      <w:r w:rsidR="00C36624" w:rsidRPr="00282692">
        <w:rPr>
          <w:rFonts w:ascii="Times New Roman" w:hAnsi="Times New Roman" w:cs="Times New Roman"/>
          <w:b/>
          <w:sz w:val="24"/>
          <w:szCs w:val="24"/>
        </w:rPr>
        <w:tab/>
      </w:r>
    </w:p>
    <w:p w:rsidR="00C36624" w:rsidRPr="00282692" w:rsidRDefault="00C36624" w:rsidP="00282692">
      <w:pPr>
        <w:spacing w:after="0" w:line="240" w:lineRule="auto"/>
        <w:ind w:firstLine="720"/>
        <w:jc w:val="both"/>
        <w:rPr>
          <w:rFonts w:ascii="Times New Roman" w:hAnsi="Times New Roman" w:cs="Times New Roman"/>
          <w:sz w:val="24"/>
          <w:szCs w:val="24"/>
        </w:rPr>
      </w:pPr>
    </w:p>
    <w:p w:rsidR="00A46228" w:rsidRPr="00282692" w:rsidRDefault="00A46228"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Σύμφωνα με το άρθρο 2 παρ. 3 του Κανονισμού (ΕΚ) 139/2004, «οι συγκεντρώσεις που ενδέχεται να παρακωλύουν σημαντικά τον αποτελεσματικό ανταγωνισμό στην κοινή αγορά ή σε σημαντικό τμήμα της, ιδίως ως αποτέλεσμα της δημιουργίας ή της ενίσχυσης μιας δεσπόζουσας θέσης, κηρύσσονται ασυμβίβαστες με την κοινή αγορά.» </w:t>
      </w:r>
    </w:p>
    <w:p w:rsidR="008642A2" w:rsidRPr="00282692" w:rsidRDefault="00A46228"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Βάσει της διάταξης αυτής, η Επιτροπή οφείλει να λαμβάνει υπόψη κάθε σημαντικό περιορισμό του αποτελεσματικού ανταγωνισμού που ενδέχεται να προκληθεί από μια συγκέντρωση που της έχει κοινοποιηθεί. Η δημιουργία ή η ενίσχυση της δεσπόζουσας θέσης αποτελεί την κυριότερη (όχι όμως και τη μοναδική) μορφή ενός τέτοιου περιορισμού. Δηλαδή, η δημιουργία ή η ενίσχυση δεσπόζουσας θέσης προβλέπεται, στον Κανονισμό (ΕΚ) 139/2004, </w:t>
      </w:r>
      <w:r w:rsidRPr="00A27C98">
        <w:rPr>
          <w:rFonts w:ascii="Times New Roman" w:hAnsi="Times New Roman" w:cs="Times New Roman"/>
          <w:b/>
          <w:sz w:val="24"/>
          <w:szCs w:val="24"/>
          <w:u w:val="single"/>
        </w:rPr>
        <w:t>ως ενδεικτική περίπτωση</w:t>
      </w:r>
      <w:r w:rsidRPr="00282692">
        <w:rPr>
          <w:rFonts w:ascii="Times New Roman" w:hAnsi="Times New Roman" w:cs="Times New Roman"/>
          <w:sz w:val="24"/>
          <w:szCs w:val="24"/>
        </w:rPr>
        <w:t xml:space="preserve"> «σημαντικού περιορισμού του αποτελεσματικού ανταγωνισμού»</w:t>
      </w:r>
      <w:r w:rsidR="003B7581" w:rsidRPr="00282692">
        <w:rPr>
          <w:rFonts w:ascii="Times New Roman" w:hAnsi="Times New Roman" w:cs="Times New Roman"/>
          <w:sz w:val="24"/>
          <w:szCs w:val="24"/>
        </w:rPr>
        <w:t xml:space="preserve"> που δύναται να προκύψει από μια συγκέντρωση. Έτσι, ο εν λόγω Κανονισμός καταλαμβάνει και περιπτώσεις συγκεντρώσεων που χωρίς να οδηγούν σε δημιουργία ή σε ενίσχυση δεσπόζουσας θέσης (ατομικής ή συλλογικής) ενδέχεται να παρακωλύουν σημαντικά τον αποτελεσματικό ανταγωνισμό στην κοινή αγορά ή σε σημαντικό τμήμα της. Όπως συναφώς αναφέρεται στην αιτιολογική σκέψη 25 του Προοιμίου του Κανονισμού </w:t>
      </w:r>
      <w:r w:rsidRPr="00282692">
        <w:rPr>
          <w:rFonts w:ascii="Times New Roman" w:hAnsi="Times New Roman" w:cs="Times New Roman"/>
          <w:sz w:val="24"/>
          <w:szCs w:val="24"/>
        </w:rPr>
        <w:t>(ΕΚ) 139/2004</w:t>
      </w:r>
      <w:r w:rsidR="003B7581" w:rsidRPr="00282692">
        <w:rPr>
          <w:rFonts w:ascii="Times New Roman" w:hAnsi="Times New Roman" w:cs="Times New Roman"/>
          <w:sz w:val="24"/>
          <w:szCs w:val="24"/>
        </w:rPr>
        <w:t>, στις ολιγοπωλιακές αγορές οι συγκεντρώσεις ενδέχεται, υπό ορισμένες συνθήκες, να οδηγούν σε σημαντική παρακώλυση του αποτελεσματικού ανταγωνισμού, ακόμα και εν απουσία συντονισμένης συμπεριφοράς μεταξύ των μελών του ολιγοπωλίου, στο μέτρο που συνεπάγονται την εξάλειψη των σημαντικών ανταγωνιστικών πιέσεων που ασκούνταν μεταξύ των συμμετεχούσων επιχειρήσεων</w:t>
      </w:r>
      <w:r w:rsidR="008642A2" w:rsidRPr="00282692">
        <w:rPr>
          <w:rFonts w:ascii="Times New Roman" w:hAnsi="Times New Roman" w:cs="Times New Roman"/>
          <w:sz w:val="24"/>
          <w:szCs w:val="24"/>
        </w:rPr>
        <w:t xml:space="preserve">, καθώς και τη μείωση της ανταγωνιστικής πίεσης επί των λοιπών ανταγωνιστών. Με άλλα λόγια, η έννοια της «σημαντικής παρακώλυσης του αποτελεσματικού ανταγωνισμού» εκτείνεται πέραν της έννοιας της δεσπόζουσας θέσης </w:t>
      </w:r>
      <w:r w:rsidR="008642A2" w:rsidRPr="00A27C98">
        <w:rPr>
          <w:rFonts w:ascii="Times New Roman" w:hAnsi="Times New Roman" w:cs="Times New Roman"/>
          <w:b/>
          <w:sz w:val="24"/>
          <w:szCs w:val="24"/>
          <w:u w:val="single"/>
        </w:rPr>
        <w:t>και μπορεί να καταλαμβάνει και τις αντιανταγωνιστικές συνέπειες μιας συγκέντρωσης που ενδέχεται να προκύπτουν από τη μη συντονισμένη συμπεριφορά επιχειρήσεων που δεν έχουν δεσπόζουσα θέση στη σχετική αγορά.</w:t>
      </w:r>
    </w:p>
    <w:p w:rsidR="008642A2" w:rsidRPr="00282692" w:rsidRDefault="008642A2"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Για να διαπιστωθεί αν μια συγκέντρωση παρακωλύει σημαντικά τον αποτελεσματικό ανταγωνισμό, ιδίως με τη δημιουργία ή την ενίσχυση δεσπόζουσας θέσης, είναι απαραίτητο να λαμβάνονται υπόψη τα ακόλουθα στοιχεία, σύμφωνα με το άρθρο 2 παρ. 1 του Κανονισμού (ΕΚ) 139/2004:</w:t>
      </w:r>
    </w:p>
    <w:p w:rsidR="008642A2" w:rsidRPr="00282692" w:rsidRDefault="008642A2"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lang w:val="en-US"/>
        </w:rPr>
        <w:lastRenderedPageBreak/>
        <w:t>i</w:t>
      </w:r>
      <w:r w:rsidRPr="00282692">
        <w:rPr>
          <w:rFonts w:ascii="Times New Roman" w:hAnsi="Times New Roman" w:cs="Times New Roman"/>
          <w:sz w:val="24"/>
          <w:szCs w:val="24"/>
        </w:rPr>
        <w:t>) Η διάρθρωση όλων των σχετικών αγορών, καθώς και ο πραγματικός ή δυνητικός ανταγωνισμός που υφίσταται στις αγορές αυτές και ιδίως στην αγορά που αφορά η υπό εξέταση συγκέντρωση.</w:t>
      </w:r>
    </w:p>
    <w:p w:rsidR="008642A2" w:rsidRPr="00282692" w:rsidRDefault="008642A2"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lang w:val="en-US"/>
        </w:rPr>
        <w:t>ii</w:t>
      </w:r>
      <w:r w:rsidRPr="00282692">
        <w:rPr>
          <w:rFonts w:ascii="Times New Roman" w:hAnsi="Times New Roman" w:cs="Times New Roman"/>
          <w:sz w:val="24"/>
          <w:szCs w:val="24"/>
        </w:rPr>
        <w:t>) Η ύπαρξη τυχόν νομικών ή πραγματικών εμποδίων εισόδου στη σχετική αγορά.</w:t>
      </w:r>
    </w:p>
    <w:p w:rsidR="008642A2" w:rsidRPr="00282692" w:rsidRDefault="008642A2"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lang w:val="en-US"/>
        </w:rPr>
        <w:t>iii</w:t>
      </w:r>
      <w:r w:rsidRPr="00282692">
        <w:rPr>
          <w:rFonts w:ascii="Times New Roman" w:hAnsi="Times New Roman" w:cs="Times New Roman"/>
          <w:sz w:val="24"/>
          <w:szCs w:val="24"/>
        </w:rPr>
        <w:t>) Η θέση των συμμετεχουσών επιχειρήσεων στη σχετική αγορά καθώς και η χρηματοοικονομική ισχύς τους.</w:t>
      </w:r>
    </w:p>
    <w:p w:rsidR="008642A2" w:rsidRPr="00282692" w:rsidRDefault="008642A2" w:rsidP="00282692">
      <w:pPr>
        <w:spacing w:after="0" w:line="240" w:lineRule="auto"/>
        <w:ind w:firstLine="720"/>
        <w:jc w:val="both"/>
        <w:rPr>
          <w:rFonts w:ascii="Times New Roman" w:hAnsi="Times New Roman" w:cs="Times New Roman"/>
          <w:sz w:val="24"/>
          <w:szCs w:val="24"/>
        </w:rPr>
      </w:pPr>
      <w:proofErr w:type="gramStart"/>
      <w:r w:rsidRPr="00282692">
        <w:rPr>
          <w:rFonts w:ascii="Times New Roman" w:hAnsi="Times New Roman" w:cs="Times New Roman"/>
          <w:sz w:val="24"/>
          <w:szCs w:val="24"/>
          <w:lang w:val="en-US"/>
        </w:rPr>
        <w:t>iv</w:t>
      </w:r>
      <w:r w:rsidRPr="00282692">
        <w:rPr>
          <w:rFonts w:ascii="Times New Roman" w:hAnsi="Times New Roman" w:cs="Times New Roman"/>
          <w:sz w:val="24"/>
          <w:szCs w:val="24"/>
        </w:rPr>
        <w:t xml:space="preserve">) </w:t>
      </w:r>
      <w:r w:rsidR="00347356" w:rsidRPr="00282692">
        <w:rPr>
          <w:rFonts w:ascii="Times New Roman" w:hAnsi="Times New Roman" w:cs="Times New Roman"/>
          <w:sz w:val="24"/>
          <w:szCs w:val="24"/>
        </w:rPr>
        <w:t>Οι</w:t>
      </w:r>
      <w:proofErr w:type="gramEnd"/>
      <w:r w:rsidR="00347356" w:rsidRPr="00282692">
        <w:rPr>
          <w:rFonts w:ascii="Times New Roman" w:hAnsi="Times New Roman" w:cs="Times New Roman"/>
          <w:sz w:val="24"/>
          <w:szCs w:val="24"/>
        </w:rPr>
        <w:t xml:space="preserve"> εναλλακτικές δυνατότητες επιλογής που έχουν οι προμηθευτές και οι αγοραστές των προϊόντων ή των υπηρεσιών που εντάσσονται στη σχετική αγορά.</w:t>
      </w:r>
    </w:p>
    <w:p w:rsidR="00347356" w:rsidRPr="00282692" w:rsidRDefault="00347356"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lang w:val="en-US"/>
        </w:rPr>
        <w:t>v</w:t>
      </w:r>
      <w:r w:rsidRPr="00282692">
        <w:rPr>
          <w:rFonts w:ascii="Times New Roman" w:hAnsi="Times New Roman" w:cs="Times New Roman"/>
          <w:sz w:val="24"/>
          <w:szCs w:val="24"/>
        </w:rPr>
        <w:t>) Η δυνατότητα πρόσβασης των προμηθευτών και των αγοραστών στις αγορές διάθεσης των προϊόντων ή/και υπηρεσιών και στις πηγές εφοδιασμού αντίστοιχα.</w:t>
      </w:r>
    </w:p>
    <w:p w:rsidR="00347356" w:rsidRPr="00282692" w:rsidRDefault="00347356"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lang w:val="en-US"/>
        </w:rPr>
        <w:t>vi</w:t>
      </w:r>
      <w:r w:rsidRPr="00282692">
        <w:rPr>
          <w:rFonts w:ascii="Times New Roman" w:hAnsi="Times New Roman" w:cs="Times New Roman"/>
          <w:sz w:val="24"/>
          <w:szCs w:val="24"/>
        </w:rPr>
        <w:t>) Η συμβολή της συγκέντρωσης στην εξέλιξη της τεχνικής και οικονομικής προόδου, εφόσον η εξέλιξη αυτή είναι προς το συμφέρον των καταναλωτών και δεν αποτελεί εμπόδιο για τον ανταγωνισμό.</w:t>
      </w:r>
    </w:p>
    <w:p w:rsidR="008642A2" w:rsidRPr="00282692" w:rsidRDefault="008642A2" w:rsidP="00282692">
      <w:pPr>
        <w:spacing w:after="0" w:line="240" w:lineRule="auto"/>
        <w:ind w:firstLine="720"/>
        <w:jc w:val="both"/>
        <w:rPr>
          <w:rFonts w:ascii="Times New Roman" w:hAnsi="Times New Roman" w:cs="Times New Roman"/>
          <w:sz w:val="24"/>
          <w:szCs w:val="24"/>
        </w:rPr>
      </w:pPr>
    </w:p>
    <w:p w:rsidR="003B7581" w:rsidRPr="00282692" w:rsidRDefault="00347356" w:rsidP="00282692">
      <w:pPr>
        <w:spacing w:after="0" w:line="240" w:lineRule="auto"/>
        <w:jc w:val="both"/>
        <w:rPr>
          <w:rFonts w:ascii="Times New Roman" w:hAnsi="Times New Roman" w:cs="Times New Roman"/>
          <w:b/>
          <w:sz w:val="24"/>
          <w:szCs w:val="24"/>
        </w:rPr>
      </w:pPr>
      <w:r w:rsidRPr="00282692">
        <w:rPr>
          <w:rFonts w:ascii="Times New Roman" w:hAnsi="Times New Roman" w:cs="Times New Roman"/>
          <w:b/>
          <w:sz w:val="24"/>
          <w:szCs w:val="24"/>
        </w:rPr>
        <w:t>β) Μέθοδος αξιολόγησης των</w:t>
      </w:r>
      <w:r w:rsidR="00CA5DDC" w:rsidRPr="00282692">
        <w:rPr>
          <w:rFonts w:ascii="Times New Roman" w:hAnsi="Times New Roman" w:cs="Times New Roman"/>
          <w:b/>
          <w:sz w:val="24"/>
          <w:szCs w:val="24"/>
        </w:rPr>
        <w:t xml:space="preserve"> συνεπειών των</w:t>
      </w:r>
      <w:r w:rsidRPr="00282692">
        <w:rPr>
          <w:rFonts w:ascii="Times New Roman" w:hAnsi="Times New Roman" w:cs="Times New Roman"/>
          <w:b/>
          <w:sz w:val="24"/>
          <w:szCs w:val="24"/>
        </w:rPr>
        <w:t xml:space="preserve"> συγκεντρώσεων</w:t>
      </w:r>
    </w:p>
    <w:p w:rsidR="003B7581" w:rsidRPr="00282692" w:rsidRDefault="003B7581" w:rsidP="00282692">
      <w:pPr>
        <w:spacing w:after="0" w:line="240" w:lineRule="auto"/>
        <w:ind w:firstLine="720"/>
        <w:jc w:val="both"/>
        <w:rPr>
          <w:rFonts w:ascii="Times New Roman" w:hAnsi="Times New Roman" w:cs="Times New Roman"/>
          <w:sz w:val="24"/>
          <w:szCs w:val="24"/>
        </w:rPr>
      </w:pPr>
    </w:p>
    <w:p w:rsidR="00AC7DD7" w:rsidRPr="00282692" w:rsidRDefault="00AC7DD7" w:rsidP="00282692">
      <w:pPr>
        <w:spacing w:after="0" w:line="240" w:lineRule="auto"/>
        <w:jc w:val="both"/>
        <w:rPr>
          <w:rFonts w:ascii="Times New Roman" w:hAnsi="Times New Roman" w:cs="Times New Roman"/>
          <w:b/>
          <w:sz w:val="24"/>
          <w:szCs w:val="24"/>
        </w:rPr>
      </w:pPr>
      <w:r w:rsidRPr="00282692">
        <w:rPr>
          <w:rFonts w:ascii="Times New Roman" w:hAnsi="Times New Roman" w:cs="Times New Roman"/>
          <w:b/>
          <w:sz w:val="24"/>
          <w:szCs w:val="24"/>
          <w:lang w:val="en-US"/>
        </w:rPr>
        <w:t>i</w:t>
      </w:r>
      <w:r w:rsidRPr="00282692">
        <w:rPr>
          <w:rFonts w:ascii="Times New Roman" w:hAnsi="Times New Roman" w:cs="Times New Roman"/>
          <w:b/>
          <w:sz w:val="24"/>
          <w:szCs w:val="24"/>
        </w:rPr>
        <w:t>) Εισαγωγικές παρατηρήσεις</w:t>
      </w:r>
    </w:p>
    <w:p w:rsidR="00AC7DD7" w:rsidRPr="00282692" w:rsidRDefault="00AC7DD7" w:rsidP="00282692">
      <w:pPr>
        <w:spacing w:after="0" w:line="240" w:lineRule="auto"/>
        <w:jc w:val="both"/>
        <w:rPr>
          <w:rFonts w:ascii="Times New Roman" w:hAnsi="Times New Roman" w:cs="Times New Roman"/>
          <w:sz w:val="24"/>
          <w:szCs w:val="24"/>
        </w:rPr>
      </w:pPr>
    </w:p>
    <w:p w:rsidR="001972B3" w:rsidRPr="00282692" w:rsidRDefault="00347356"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Κατά την αξιολόγηση των συνεπειών μιας συγκέντρωσης για τον ανταγωνισμό, η Επιτροπή συγκρίνει τις συνθήκες ανταγωνισμού που θα προκύψουν από την κοινοποιηθείσα συγκέντρωση με εκείνες που θα επικρατούσαν χωρίς αυτήν. Στις περισσότερες περιπτώσεις, οι συνθήκες ανταγωνισμού που υπάρχουν κατά τον χρόνο της συγκέντρωσης αποτελούν το στοιχείο σύγκρισης για την αξιολόγηση των συνεπειών της συγκέντρωσης. Ωστόσο, μερικές φορές η Επιτροπή λαμβάνει υπόψη της και τις μελλοντικές αλλαγές που μπορεί να αναμένονται στη σχετική αγορά</w:t>
      </w:r>
      <w:r w:rsidR="001972B3" w:rsidRPr="00282692">
        <w:rPr>
          <w:rFonts w:ascii="Times New Roman" w:hAnsi="Times New Roman" w:cs="Times New Roman"/>
          <w:sz w:val="24"/>
          <w:szCs w:val="24"/>
        </w:rPr>
        <w:t xml:space="preserve"> και ιδίως την πιθανότητα εισόδου ή εξόδου επιχειρήσεων σε περίπτωση μη πραγματοποίησης της κοινοποιηθείσας συγκέντρωσης.</w:t>
      </w:r>
    </w:p>
    <w:p w:rsidR="00D322CE" w:rsidRDefault="00D322CE" w:rsidP="00282692">
      <w:pPr>
        <w:spacing w:after="0" w:line="240" w:lineRule="auto"/>
        <w:jc w:val="both"/>
        <w:rPr>
          <w:rFonts w:ascii="Times New Roman" w:hAnsi="Times New Roman" w:cs="Times New Roman"/>
          <w:sz w:val="24"/>
          <w:szCs w:val="24"/>
        </w:rPr>
      </w:pPr>
    </w:p>
    <w:p w:rsidR="00C36624" w:rsidRPr="00282692" w:rsidRDefault="00D322CE" w:rsidP="00282692">
      <w:pPr>
        <w:spacing w:after="0" w:line="240" w:lineRule="auto"/>
        <w:jc w:val="both"/>
        <w:rPr>
          <w:rFonts w:ascii="Times New Roman" w:hAnsi="Times New Roman" w:cs="Times New Roman"/>
          <w:b/>
          <w:sz w:val="24"/>
          <w:szCs w:val="24"/>
        </w:rPr>
      </w:pPr>
      <w:r w:rsidRPr="00D322CE">
        <w:rPr>
          <w:rFonts w:ascii="Times New Roman" w:hAnsi="Times New Roman" w:cs="Times New Roman"/>
          <w:b/>
          <w:sz w:val="24"/>
          <w:szCs w:val="24"/>
          <w:lang w:val="en-US"/>
        </w:rPr>
        <w:t>ii</w:t>
      </w:r>
      <w:r w:rsidR="00AC7DD7" w:rsidRPr="00282692">
        <w:rPr>
          <w:rFonts w:ascii="Times New Roman" w:hAnsi="Times New Roman" w:cs="Times New Roman"/>
          <w:b/>
          <w:sz w:val="24"/>
          <w:szCs w:val="24"/>
        </w:rPr>
        <w:t>)</w:t>
      </w:r>
      <w:r w:rsidR="001C224E">
        <w:rPr>
          <w:rFonts w:ascii="Times New Roman" w:hAnsi="Times New Roman" w:cs="Times New Roman"/>
          <w:b/>
          <w:sz w:val="24"/>
          <w:szCs w:val="24"/>
        </w:rPr>
        <w:t>Ακολουθούμενα βήματα για την αξιολόγηση</w:t>
      </w:r>
      <w:r w:rsidR="00AC7DD7" w:rsidRPr="00282692">
        <w:rPr>
          <w:rFonts w:ascii="Times New Roman" w:hAnsi="Times New Roman" w:cs="Times New Roman"/>
          <w:b/>
          <w:sz w:val="24"/>
          <w:szCs w:val="24"/>
        </w:rPr>
        <w:t xml:space="preserve"> των συνεπειών των συγκεντρώσεων</w:t>
      </w:r>
    </w:p>
    <w:p w:rsidR="00C36624" w:rsidRPr="00282692" w:rsidRDefault="00C36624" w:rsidP="00282692">
      <w:pPr>
        <w:spacing w:after="0" w:line="240" w:lineRule="auto"/>
        <w:ind w:firstLine="720"/>
        <w:jc w:val="both"/>
        <w:rPr>
          <w:rFonts w:ascii="Times New Roman" w:hAnsi="Times New Roman" w:cs="Times New Roman"/>
          <w:sz w:val="24"/>
          <w:szCs w:val="24"/>
        </w:rPr>
      </w:pPr>
    </w:p>
    <w:p w:rsidR="00C36624" w:rsidRPr="00282692" w:rsidRDefault="00AC7DD7" w:rsidP="00282692">
      <w:pPr>
        <w:spacing w:after="0" w:line="240" w:lineRule="auto"/>
        <w:jc w:val="both"/>
        <w:rPr>
          <w:rFonts w:ascii="Times New Roman" w:hAnsi="Times New Roman" w:cs="Times New Roman"/>
          <w:b/>
          <w:sz w:val="24"/>
          <w:szCs w:val="24"/>
        </w:rPr>
      </w:pPr>
      <w:r w:rsidRPr="00282692">
        <w:rPr>
          <w:rFonts w:ascii="Times New Roman" w:hAnsi="Times New Roman" w:cs="Times New Roman"/>
          <w:b/>
          <w:sz w:val="24"/>
          <w:szCs w:val="24"/>
          <w:lang w:val="en-US"/>
        </w:rPr>
        <w:t>a</w:t>
      </w:r>
      <w:r w:rsidRPr="00282692">
        <w:rPr>
          <w:rFonts w:ascii="Times New Roman" w:hAnsi="Times New Roman" w:cs="Times New Roman"/>
          <w:b/>
          <w:sz w:val="24"/>
          <w:szCs w:val="24"/>
        </w:rPr>
        <w:t>) Οριοθέτηση των σχετικών αγορών</w:t>
      </w:r>
    </w:p>
    <w:p w:rsidR="00C36624" w:rsidRPr="00282692" w:rsidRDefault="00C36624" w:rsidP="00282692">
      <w:pPr>
        <w:spacing w:after="0" w:line="240" w:lineRule="auto"/>
        <w:ind w:firstLine="720"/>
        <w:jc w:val="both"/>
        <w:rPr>
          <w:rFonts w:ascii="Times New Roman" w:hAnsi="Times New Roman" w:cs="Times New Roman"/>
          <w:sz w:val="24"/>
          <w:szCs w:val="24"/>
        </w:rPr>
      </w:pPr>
    </w:p>
    <w:p w:rsidR="00AC7DD7" w:rsidRPr="00282692" w:rsidRDefault="00AC7DD7"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Απαραίτητο προαπαιτούμενο για την αξιολόγηση των αντιανταγωνιστικών συνεπειών μιας συγκέντρωσης είναι η οριοθέτηση των σχετικών αγορών, κατά προϊόν και γεωγραφική περιοχή. Η οριοθέτηση των σχετικών αγορών υπακούει, καταρχήν, στους κανόνες που ισχύουν για την οριοθέτηση των σχετικών αγορών κατ’ εφαρμογή των άρθρων 101 και 102 ΣΛΕΕ. Η ιδιαιτερότητα, όμως, της πράξης της συγκέντρωσης επιβάλλει να ληφθούν υπόψη και κάποια επιπλέον στοιχεία κατά την οριοθέτηση των σχετικών αγορών κατά τον έλεγχο της συμβατότητας της συγκέντρωσης με την εσωτερική αγορά. </w:t>
      </w:r>
    </w:p>
    <w:p w:rsidR="006643DF" w:rsidRPr="00282692" w:rsidRDefault="00AC7DD7"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Ειδικότερα, </w:t>
      </w:r>
      <w:r w:rsidR="00150EEE" w:rsidRPr="00282692">
        <w:rPr>
          <w:rFonts w:ascii="Times New Roman" w:hAnsi="Times New Roman" w:cs="Times New Roman"/>
          <w:sz w:val="24"/>
          <w:szCs w:val="24"/>
        </w:rPr>
        <w:t xml:space="preserve">για να κριθεί αν η κοινοποιηθείσα συγκέντρωση είναι συμβατή με την εσωτερική αγορά, απαιτείται να οριοθετούνται όχι μόνο οι αγορές στις οποίες εντάσσονται οι δραστηριότητες των συμμετεχουσών στη συγκέντρωση επιχειρήσεων </w:t>
      </w:r>
      <w:r w:rsidR="005D5891" w:rsidRPr="00282692">
        <w:rPr>
          <w:rFonts w:ascii="Times New Roman" w:hAnsi="Times New Roman" w:cs="Times New Roman"/>
          <w:sz w:val="24"/>
          <w:szCs w:val="24"/>
        </w:rPr>
        <w:t>(</w:t>
      </w:r>
      <w:r w:rsidR="005D5891" w:rsidRPr="00282692">
        <w:rPr>
          <w:rFonts w:ascii="Times New Roman" w:hAnsi="Times New Roman" w:cs="Times New Roman"/>
          <w:sz w:val="24"/>
          <w:szCs w:val="24"/>
          <w:lang w:val="en-US"/>
        </w:rPr>
        <w:t>relevantmarkets</w:t>
      </w:r>
      <w:r w:rsidR="005D5891" w:rsidRPr="00282692">
        <w:rPr>
          <w:rFonts w:ascii="Times New Roman" w:hAnsi="Times New Roman" w:cs="Times New Roman"/>
          <w:sz w:val="24"/>
          <w:szCs w:val="24"/>
        </w:rPr>
        <w:t xml:space="preserve">) </w:t>
      </w:r>
      <w:r w:rsidR="005D5891" w:rsidRPr="006F37E3">
        <w:rPr>
          <w:rFonts w:ascii="Times New Roman" w:hAnsi="Times New Roman" w:cs="Times New Roman"/>
          <w:b/>
          <w:sz w:val="24"/>
          <w:szCs w:val="24"/>
          <w:u w:val="single"/>
        </w:rPr>
        <w:t xml:space="preserve">αλλά και οι αγορές που επηρεάζονται από τη συγκέντρωση και οι αγορές που είναι συγγενείς με τις αγορές που επηρεάζονται από τη </w:t>
      </w:r>
      <w:r w:rsidR="005D5891" w:rsidRPr="006F37E3">
        <w:rPr>
          <w:rFonts w:ascii="Times New Roman" w:hAnsi="Times New Roman" w:cs="Times New Roman"/>
          <w:b/>
          <w:sz w:val="24"/>
          <w:szCs w:val="24"/>
          <w:u w:val="single"/>
        </w:rPr>
        <w:lastRenderedPageBreak/>
        <w:t>συγκέντρωση (</w:t>
      </w:r>
      <w:r w:rsidR="005D5891" w:rsidRPr="006F37E3">
        <w:rPr>
          <w:rFonts w:ascii="Times New Roman" w:hAnsi="Times New Roman" w:cs="Times New Roman"/>
          <w:b/>
          <w:sz w:val="24"/>
          <w:szCs w:val="24"/>
          <w:u w:val="single"/>
          <w:lang w:val="en-US"/>
        </w:rPr>
        <w:t>affectedmarkets</w:t>
      </w:r>
      <w:r w:rsidR="005D5891" w:rsidRPr="006F37E3">
        <w:rPr>
          <w:rFonts w:ascii="Times New Roman" w:hAnsi="Times New Roman" w:cs="Times New Roman"/>
          <w:b/>
          <w:sz w:val="24"/>
          <w:szCs w:val="24"/>
          <w:u w:val="single"/>
        </w:rPr>
        <w:t>)</w:t>
      </w:r>
      <w:r w:rsidR="003A5FAB">
        <w:rPr>
          <w:rStyle w:val="FootnoteReference"/>
          <w:rFonts w:ascii="Times New Roman" w:hAnsi="Times New Roman" w:cs="Times New Roman"/>
          <w:sz w:val="24"/>
          <w:szCs w:val="24"/>
        </w:rPr>
        <w:footnoteReference w:id="207"/>
      </w:r>
      <w:r w:rsidR="005D5891" w:rsidRPr="00282692">
        <w:rPr>
          <w:rFonts w:ascii="Times New Roman" w:hAnsi="Times New Roman" w:cs="Times New Roman"/>
          <w:sz w:val="24"/>
          <w:szCs w:val="24"/>
        </w:rPr>
        <w:t xml:space="preserve">. Συναφώς επισημαίνεται ότι η διαπίστωση και η επιμέτρηση των αντιανταγωνιστικών συνεπειών της συγκέντρωσης θα βασιστούν </w:t>
      </w:r>
      <w:r w:rsidR="00133E30" w:rsidRPr="00282692">
        <w:rPr>
          <w:rFonts w:ascii="Times New Roman" w:hAnsi="Times New Roman" w:cs="Times New Roman"/>
          <w:sz w:val="24"/>
          <w:szCs w:val="24"/>
        </w:rPr>
        <w:t>κυρίως στην οριοθέτηση των αγορών που επηρεάζονται από τη συγκέντρωση και των αγορών που είναι συγγενείς με τις προαναφερθείσες αγορές</w:t>
      </w:r>
      <w:r w:rsidR="003A5FAB">
        <w:rPr>
          <w:rStyle w:val="FootnoteReference"/>
          <w:rFonts w:ascii="Times New Roman" w:hAnsi="Times New Roman" w:cs="Times New Roman"/>
          <w:sz w:val="24"/>
          <w:szCs w:val="24"/>
        </w:rPr>
        <w:footnoteReference w:id="208"/>
      </w:r>
      <w:r w:rsidR="00133E30" w:rsidRPr="00282692">
        <w:rPr>
          <w:rFonts w:ascii="Times New Roman" w:hAnsi="Times New Roman" w:cs="Times New Roman"/>
          <w:sz w:val="24"/>
          <w:szCs w:val="24"/>
        </w:rPr>
        <w:t>. Εξάλλου, πρέπει να τονιστεί ότι ο προληπτικός έλεγχος των συγκεντρώσεων δεν συμβιβάζεται με μια στατική ανάλυση των αγορών, αλλά επιβάλλει να ληφθούν υπόψη, στο πλαίσιο μιας δυναμικής ανάλυσης, οι βραχυπρόθεσμες και μεσοπρόθεσμες διαρθρωτικές μεταβολές της αγοράς, τις οποίες, από την ίδια τη φύση της, ενδέχεται να προκαλέσει η συγκέντρωση</w:t>
      </w:r>
      <w:r w:rsidR="003A5FAB">
        <w:rPr>
          <w:rStyle w:val="FootnoteReference"/>
          <w:rFonts w:ascii="Times New Roman" w:hAnsi="Times New Roman" w:cs="Times New Roman"/>
          <w:sz w:val="24"/>
          <w:szCs w:val="24"/>
        </w:rPr>
        <w:footnoteReference w:id="209"/>
      </w:r>
      <w:r w:rsidR="00133E30" w:rsidRPr="00282692">
        <w:rPr>
          <w:rFonts w:ascii="Times New Roman" w:hAnsi="Times New Roman" w:cs="Times New Roman"/>
          <w:sz w:val="24"/>
          <w:szCs w:val="24"/>
        </w:rPr>
        <w:t>.</w:t>
      </w:r>
    </w:p>
    <w:p w:rsidR="006643DF" w:rsidRPr="00282692" w:rsidRDefault="006643DF" w:rsidP="00282692">
      <w:pPr>
        <w:spacing w:after="0" w:line="240" w:lineRule="auto"/>
        <w:jc w:val="both"/>
        <w:rPr>
          <w:rFonts w:ascii="Times New Roman" w:hAnsi="Times New Roman" w:cs="Times New Roman"/>
          <w:sz w:val="24"/>
          <w:szCs w:val="24"/>
        </w:rPr>
      </w:pPr>
    </w:p>
    <w:p w:rsidR="00AC7DD7" w:rsidRPr="00282692" w:rsidRDefault="006643DF" w:rsidP="00282692">
      <w:pPr>
        <w:spacing w:after="0" w:line="240" w:lineRule="auto"/>
        <w:jc w:val="both"/>
        <w:rPr>
          <w:rFonts w:ascii="Times New Roman" w:hAnsi="Times New Roman" w:cs="Times New Roman"/>
          <w:b/>
          <w:sz w:val="24"/>
          <w:szCs w:val="24"/>
        </w:rPr>
      </w:pPr>
      <w:r w:rsidRPr="00282692">
        <w:rPr>
          <w:rFonts w:ascii="Times New Roman" w:hAnsi="Times New Roman" w:cs="Times New Roman"/>
          <w:b/>
          <w:sz w:val="24"/>
          <w:szCs w:val="24"/>
          <w:lang w:val="en-US"/>
        </w:rPr>
        <w:t>b</w:t>
      </w:r>
      <w:r w:rsidRPr="00282692">
        <w:rPr>
          <w:rFonts w:ascii="Times New Roman" w:hAnsi="Times New Roman" w:cs="Times New Roman"/>
          <w:b/>
          <w:sz w:val="24"/>
          <w:szCs w:val="24"/>
        </w:rPr>
        <w:t>) Μερίδια αγοράς</w:t>
      </w:r>
    </w:p>
    <w:p w:rsidR="00AC7DD7" w:rsidRPr="00282692" w:rsidRDefault="00AC7DD7" w:rsidP="00282692">
      <w:pPr>
        <w:spacing w:after="0" w:line="240" w:lineRule="auto"/>
        <w:ind w:firstLine="720"/>
        <w:jc w:val="both"/>
        <w:rPr>
          <w:rFonts w:ascii="Times New Roman" w:hAnsi="Times New Roman" w:cs="Times New Roman"/>
          <w:sz w:val="24"/>
          <w:szCs w:val="24"/>
        </w:rPr>
      </w:pPr>
    </w:p>
    <w:p w:rsidR="00186F10" w:rsidRPr="00282692" w:rsidRDefault="006643DF" w:rsidP="00282692">
      <w:pPr>
        <w:spacing w:after="0" w:line="240" w:lineRule="auto"/>
        <w:ind w:firstLine="720"/>
        <w:jc w:val="both"/>
        <w:rPr>
          <w:rFonts w:ascii="Times New Roman" w:hAnsi="Times New Roman" w:cs="Times New Roman"/>
          <w:sz w:val="24"/>
          <w:szCs w:val="24"/>
        </w:rPr>
      </w:pPr>
      <w:r w:rsidRPr="00C31A39">
        <w:rPr>
          <w:rFonts w:ascii="Times New Roman" w:hAnsi="Times New Roman" w:cs="Times New Roman"/>
          <w:b/>
          <w:sz w:val="24"/>
          <w:szCs w:val="24"/>
          <w:u w:val="single"/>
        </w:rPr>
        <w:t>Τα μερίδια αγοράς και τα επίπεδα συγκέντρωσης αποτελούν τις πρώτες χρήσιμες ενδείξεις για τη διάρθρωση της αγοράς και τη σπουδαιότητα τόσο των συμμετεχουσών στη συγκέντρωση επιχειρήσεων όσο και των ανταγωνιστών τους.</w:t>
      </w:r>
      <w:r w:rsidRPr="00282692">
        <w:rPr>
          <w:rFonts w:ascii="Times New Roman" w:hAnsi="Times New Roman" w:cs="Times New Roman"/>
          <w:sz w:val="24"/>
          <w:szCs w:val="24"/>
        </w:rPr>
        <w:t xml:space="preserve"> Κατά κανόνα, η Επιτροπή χρησιμοποιεί στην ανάλυσή της τα τρέχοντα μερίδια αγοράς, τα οποία ωστόσο μπορούν να προσαρμοστούν ώστε να ανταποκρίνονται στις αναμενόμενες με εύλογη βεβαιότητα μεταβολές λόγω πιθανής εισόδου ή εξόδου επιχειρήσεων από τη σχετική αγορά.</w:t>
      </w:r>
      <w:r w:rsidR="007C73F7" w:rsidRPr="00282692">
        <w:rPr>
          <w:rFonts w:ascii="Times New Roman" w:hAnsi="Times New Roman" w:cs="Times New Roman"/>
          <w:sz w:val="24"/>
          <w:szCs w:val="24"/>
        </w:rPr>
        <w:t xml:space="preserve"> Τα μετά τη συγκέντρωση μερίδια αγοράς θεωρούνται ως το άθροισμα των προ της συγκέντρωσης μεριδίων αγοράς των εμπλεκόμενων επιχειρήσεων. Σε κάθε περίπτωση, η Επιτροπή αξιολογεί τα μερίδια αγοράς υπό το πρίσμα της φύσης και των συνθηκών της συγκεκριμένης αγοράς, δηλαδή του στατικού ή δυναμικού χαρακτήρα της και της σταθερής ή ασταθούς διάρθρωσής της, λόγω της καινοτομίας και της ανάπτυξης που τη χαρακτηρίζει</w:t>
      </w:r>
      <w:r w:rsidR="00B81502" w:rsidRPr="00282692">
        <w:rPr>
          <w:rStyle w:val="FootnoteReference"/>
          <w:rFonts w:ascii="Times New Roman" w:hAnsi="Times New Roman" w:cs="Times New Roman"/>
          <w:sz w:val="24"/>
          <w:szCs w:val="24"/>
        </w:rPr>
        <w:footnoteReference w:id="210"/>
      </w:r>
      <w:r w:rsidR="007C73F7" w:rsidRPr="00282692">
        <w:rPr>
          <w:rFonts w:ascii="Times New Roman" w:hAnsi="Times New Roman" w:cs="Times New Roman"/>
          <w:sz w:val="24"/>
          <w:szCs w:val="24"/>
        </w:rPr>
        <w:t>.</w:t>
      </w:r>
    </w:p>
    <w:p w:rsidR="006643DF" w:rsidRPr="00282692" w:rsidRDefault="00B81502"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Σύμφωνα με τα όσα λέχθηκαν παραπάνω σε σχέση με το άρθρο 102 ΣΛΕΕ</w:t>
      </w:r>
      <w:r w:rsidR="00186F10" w:rsidRPr="00282692">
        <w:rPr>
          <w:rFonts w:ascii="Times New Roman" w:hAnsi="Times New Roman" w:cs="Times New Roman"/>
          <w:sz w:val="24"/>
          <w:szCs w:val="24"/>
        </w:rPr>
        <w:t>, τα πολύ μεγάλα μερίδια αγοράς (άνω του 50%) ενδέχεται από μόνα τους να στηρίζουν τη διαπίστωση περί ύπαρξης δεσπόζουσας θέσης στη σχετική αγορά</w:t>
      </w:r>
      <w:r w:rsidR="00305C06">
        <w:rPr>
          <w:rStyle w:val="FootnoteReference"/>
          <w:rFonts w:ascii="Times New Roman" w:hAnsi="Times New Roman" w:cs="Times New Roman"/>
          <w:sz w:val="24"/>
          <w:szCs w:val="24"/>
        </w:rPr>
        <w:footnoteReference w:id="211"/>
      </w:r>
      <w:r w:rsidR="00186F10" w:rsidRPr="00282692">
        <w:rPr>
          <w:rFonts w:ascii="Times New Roman" w:hAnsi="Times New Roman" w:cs="Times New Roman"/>
          <w:sz w:val="24"/>
          <w:szCs w:val="24"/>
        </w:rPr>
        <w:t>. Ωστόσο, ακόμα και αν τα μερίδια αγοράς είναι κάτω του 50%, η συγκέντρωση δεν αποκλείεται να έχει σημαντικές επιπτώσεις στον αποτελεσματικό ανταγωνισμό ενόψει άλλων παραγόντων, όπως είναι η ισχύς και ο αριθμός των ανταγωνιστών, η ύπαρξη περιορισμών παραγωγικής ικανότητας ή ο βαθμός στον οποίο τα προϊόντα των συμμετεχουσών επιχειρήσεων είναι στενά υποκατάστατα. Έτσι, η Ευρωπαϊκή Επιτροπή, σε πολλές περιπτώσεις, έκρινε ότι συγκεντρώσεις που καταλήγουν στη δημιουργία επιχειρήσεων με μερίδιο αγοράς μεταξύ 40% και 50%</w:t>
      </w:r>
      <w:r w:rsidRPr="00282692">
        <w:rPr>
          <w:rStyle w:val="FootnoteReference"/>
          <w:rFonts w:ascii="Times New Roman" w:hAnsi="Times New Roman" w:cs="Times New Roman"/>
          <w:sz w:val="24"/>
          <w:szCs w:val="24"/>
        </w:rPr>
        <w:footnoteReference w:id="212"/>
      </w:r>
      <w:r w:rsidR="00186F10" w:rsidRPr="00282692">
        <w:rPr>
          <w:rFonts w:ascii="Times New Roman" w:hAnsi="Times New Roman" w:cs="Times New Roman"/>
          <w:sz w:val="24"/>
          <w:szCs w:val="24"/>
        </w:rPr>
        <w:t xml:space="preserve"> και σε ορισμένες περιπτώσεις και κάτω του 40%</w:t>
      </w:r>
      <w:r w:rsidRPr="00282692">
        <w:rPr>
          <w:rStyle w:val="FootnoteReference"/>
          <w:rFonts w:ascii="Times New Roman" w:hAnsi="Times New Roman" w:cs="Times New Roman"/>
          <w:sz w:val="24"/>
          <w:szCs w:val="24"/>
        </w:rPr>
        <w:footnoteReference w:id="213"/>
      </w:r>
      <w:r w:rsidR="00186F10" w:rsidRPr="00282692">
        <w:rPr>
          <w:rFonts w:ascii="Times New Roman" w:hAnsi="Times New Roman" w:cs="Times New Roman"/>
          <w:sz w:val="24"/>
          <w:szCs w:val="24"/>
        </w:rPr>
        <w:t xml:space="preserve"> ενδέχεται να οδηγούν στη δημιουργία ή ενίσχυση δεσπόζουσας θέσης. Συγκεντρώσεις στις οποίες το μερίδιο αγοράς των </w:t>
      </w:r>
      <w:r w:rsidR="00186F10" w:rsidRPr="00282692">
        <w:rPr>
          <w:rFonts w:ascii="Times New Roman" w:hAnsi="Times New Roman" w:cs="Times New Roman"/>
          <w:sz w:val="24"/>
          <w:szCs w:val="24"/>
        </w:rPr>
        <w:lastRenderedPageBreak/>
        <w:t>συμμετεχουσών επιχειρήσεων δεν υπερβαίνει το 25% στη σχετική αγορά μπορούν να θεωρηθούν, κατά τεκμήριο, συμβατές με τον Κανονισμό (ΕΚ) 139/2004</w:t>
      </w:r>
      <w:r w:rsidRPr="00282692">
        <w:rPr>
          <w:rStyle w:val="FootnoteReference"/>
          <w:rFonts w:ascii="Times New Roman" w:hAnsi="Times New Roman" w:cs="Times New Roman"/>
          <w:sz w:val="24"/>
          <w:szCs w:val="24"/>
        </w:rPr>
        <w:footnoteReference w:id="214"/>
      </w:r>
      <w:r w:rsidR="00186F10" w:rsidRPr="00282692">
        <w:rPr>
          <w:rFonts w:ascii="Times New Roman" w:hAnsi="Times New Roman" w:cs="Times New Roman"/>
          <w:sz w:val="24"/>
          <w:szCs w:val="24"/>
        </w:rPr>
        <w:t xml:space="preserve">.  </w:t>
      </w:r>
    </w:p>
    <w:p w:rsidR="006643DF" w:rsidRPr="00282692" w:rsidRDefault="006643DF" w:rsidP="00282692">
      <w:pPr>
        <w:spacing w:after="0" w:line="240" w:lineRule="auto"/>
        <w:jc w:val="both"/>
        <w:rPr>
          <w:rFonts w:ascii="Times New Roman" w:hAnsi="Times New Roman" w:cs="Times New Roman"/>
          <w:sz w:val="24"/>
          <w:szCs w:val="24"/>
        </w:rPr>
      </w:pPr>
    </w:p>
    <w:p w:rsidR="00EC4A9A" w:rsidRPr="00282692" w:rsidRDefault="00EC4A9A" w:rsidP="00282692">
      <w:pPr>
        <w:spacing w:after="0" w:line="240" w:lineRule="auto"/>
        <w:jc w:val="both"/>
        <w:rPr>
          <w:rFonts w:ascii="Times New Roman" w:hAnsi="Times New Roman" w:cs="Times New Roman"/>
          <w:b/>
          <w:sz w:val="24"/>
          <w:szCs w:val="24"/>
        </w:rPr>
      </w:pPr>
      <w:r w:rsidRPr="00282692">
        <w:rPr>
          <w:rFonts w:ascii="Times New Roman" w:hAnsi="Times New Roman" w:cs="Times New Roman"/>
          <w:b/>
          <w:sz w:val="24"/>
          <w:szCs w:val="24"/>
          <w:lang w:val="en-US"/>
        </w:rPr>
        <w:t>c</w:t>
      </w:r>
      <w:r w:rsidRPr="00282692">
        <w:rPr>
          <w:rFonts w:ascii="Times New Roman" w:hAnsi="Times New Roman" w:cs="Times New Roman"/>
          <w:b/>
          <w:sz w:val="24"/>
          <w:szCs w:val="24"/>
        </w:rPr>
        <w:t xml:space="preserve">) </w:t>
      </w:r>
      <w:r w:rsidR="004C25A8" w:rsidRPr="00282692">
        <w:rPr>
          <w:rFonts w:ascii="Times New Roman" w:hAnsi="Times New Roman" w:cs="Times New Roman"/>
          <w:b/>
          <w:sz w:val="24"/>
          <w:szCs w:val="24"/>
        </w:rPr>
        <w:t>Αντισταθμιστική ισχύς πελατών ή προμηθευτών – Εμπόδια εισόδου στη σχετική αγορά</w:t>
      </w:r>
    </w:p>
    <w:p w:rsidR="004C25A8" w:rsidRPr="00282692" w:rsidRDefault="004C25A8" w:rsidP="00282692">
      <w:pPr>
        <w:spacing w:after="0" w:line="240" w:lineRule="auto"/>
        <w:jc w:val="both"/>
        <w:rPr>
          <w:rFonts w:ascii="Times New Roman" w:hAnsi="Times New Roman" w:cs="Times New Roman"/>
          <w:sz w:val="24"/>
          <w:szCs w:val="24"/>
        </w:rPr>
      </w:pPr>
    </w:p>
    <w:p w:rsidR="004C25A8" w:rsidRDefault="004C25A8"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Η ανταγωνιστική πίεση που δέχεται μια επιχείρηση δεν ασκείται μόνο από τους ανταγωνιστές της αλλά ενδέχεται να προέρχεται από τους πελάτες ή ακόμα και τους προμηθευτές της. </w:t>
      </w:r>
      <w:r w:rsidRPr="00C31A39">
        <w:rPr>
          <w:rFonts w:ascii="Times New Roman" w:hAnsi="Times New Roman" w:cs="Times New Roman"/>
          <w:b/>
          <w:sz w:val="24"/>
          <w:szCs w:val="24"/>
          <w:u w:val="single"/>
        </w:rPr>
        <w:t>Ακόμα και επιχειρήσεις με μεγάλα μερίδια αγοράς ενδέχεται, μετά τη συγκέντρωση, να μην είναι σε θέση να περιορίσουν αισθητά τον ανταγωνισμό και να μην είναι σε θέση να ενεργούν σε σημαντικό βαθμό ανεξάρτητα από τους πελάτες ή τους προμηθευτές τους, αν αυτοί διαθέτουν σημαντική ισχύ στην αγορά.</w:t>
      </w:r>
      <w:r w:rsidRPr="00282692">
        <w:rPr>
          <w:rFonts w:ascii="Times New Roman" w:hAnsi="Times New Roman" w:cs="Times New Roman"/>
          <w:sz w:val="24"/>
          <w:szCs w:val="24"/>
        </w:rPr>
        <w:t xml:space="preserve"> Συνήθως, αυτού του είδους την αντισταθμιστική ισχύ διαθέτουν οι μεγάλοι και πολυσύνθετοι πελάτες (π.χ. πολυκαταστήματα) ή οι ισχυροί προμηθευτές. Διευκρινίζεται, βέβαια, ότι η ισχύς πελατών και προμηθευτών λαμβάνεται υπόψη, εφόσον υπάρχει και παραμένει αποτελεσματική και μετά τη συγκέντρωση, καθώς μόνο στην περίπτωση αυτή μπορεί να λειτουργήσει ως αντιστάθμισμα των αντιανταγωνιστικών επιπτώσεων της συγκέντρωσης</w:t>
      </w:r>
      <w:r w:rsidR="00B81502" w:rsidRPr="00282692">
        <w:rPr>
          <w:rStyle w:val="FootnoteReference"/>
          <w:rFonts w:ascii="Times New Roman" w:hAnsi="Times New Roman" w:cs="Times New Roman"/>
          <w:sz w:val="24"/>
          <w:szCs w:val="24"/>
        </w:rPr>
        <w:footnoteReference w:id="215"/>
      </w:r>
      <w:r w:rsidRPr="00282692">
        <w:rPr>
          <w:rFonts w:ascii="Times New Roman" w:hAnsi="Times New Roman" w:cs="Times New Roman"/>
          <w:sz w:val="24"/>
          <w:szCs w:val="24"/>
        </w:rPr>
        <w:t>.</w:t>
      </w:r>
    </w:p>
    <w:p w:rsidR="000C4120" w:rsidRDefault="00066186" w:rsidP="00282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Η σημασία της αγοραστικής δύναμης έχει ληφθεί υπόψη από την Επιτροπή σε διάφορες υποθέσεις συγκεντρώσεων. Έτσι, στην υπόθεση </w:t>
      </w:r>
      <w:proofErr w:type="spellStart"/>
      <w:r w:rsidRPr="00066186">
        <w:rPr>
          <w:rFonts w:ascii="Times New Roman" w:hAnsi="Times New Roman" w:cs="Times New Roman"/>
          <w:i/>
          <w:sz w:val="24"/>
          <w:szCs w:val="24"/>
          <w:lang w:val="en-US"/>
        </w:rPr>
        <w:t>Knorr</w:t>
      </w:r>
      <w:proofErr w:type="spellEnd"/>
      <w:r w:rsidRPr="00066186">
        <w:rPr>
          <w:rFonts w:ascii="Times New Roman" w:hAnsi="Times New Roman" w:cs="Times New Roman"/>
          <w:i/>
          <w:sz w:val="24"/>
          <w:szCs w:val="24"/>
        </w:rPr>
        <w:t>-</w:t>
      </w:r>
      <w:proofErr w:type="spellStart"/>
      <w:r w:rsidRPr="00066186">
        <w:rPr>
          <w:rFonts w:ascii="Times New Roman" w:hAnsi="Times New Roman" w:cs="Times New Roman"/>
          <w:i/>
          <w:sz w:val="24"/>
          <w:szCs w:val="24"/>
          <w:lang w:val="en-US"/>
        </w:rPr>
        <w:t>Bremse</w:t>
      </w:r>
      <w:proofErr w:type="spellEnd"/>
      <w:r w:rsidRPr="00066186">
        <w:rPr>
          <w:rFonts w:ascii="Times New Roman" w:hAnsi="Times New Roman" w:cs="Times New Roman"/>
          <w:sz w:val="24"/>
          <w:szCs w:val="24"/>
        </w:rPr>
        <w:t xml:space="preserve">, </w:t>
      </w:r>
      <w:r>
        <w:rPr>
          <w:rFonts w:ascii="Times New Roman" w:hAnsi="Times New Roman" w:cs="Times New Roman"/>
          <w:sz w:val="24"/>
          <w:szCs w:val="24"/>
        </w:rPr>
        <w:t>η Επιτροπή ενέκρινε συγκέντρωση που θα οδηγούσε σε μερίδιο αγοράς 80%, λόγω παραγόντων όπως η ύπαρξη σημαντικής αγοραστικής δύναμης</w:t>
      </w:r>
      <w:r>
        <w:rPr>
          <w:rStyle w:val="FootnoteReference"/>
          <w:rFonts w:ascii="Times New Roman" w:hAnsi="Times New Roman" w:cs="Times New Roman"/>
          <w:sz w:val="24"/>
          <w:szCs w:val="24"/>
        </w:rPr>
        <w:footnoteReference w:id="216"/>
      </w:r>
      <w:r>
        <w:rPr>
          <w:rFonts w:ascii="Times New Roman" w:hAnsi="Times New Roman" w:cs="Times New Roman"/>
          <w:sz w:val="24"/>
          <w:szCs w:val="24"/>
        </w:rPr>
        <w:t>. Σε περίπτωση όμως που οι αγοραστές των προϊόντων δύο συγχωνευόμενων εταιρειών δεν είναι οι τελικοί καταναλωτές και δύνανται να μετακυλίσουν το αυξημένο κόστος των πρώτων υλών στους τελικούς καταναλωτές</w:t>
      </w:r>
      <w:r w:rsidR="0056242C">
        <w:rPr>
          <w:rFonts w:ascii="Times New Roman" w:hAnsi="Times New Roman" w:cs="Times New Roman"/>
          <w:sz w:val="24"/>
          <w:szCs w:val="24"/>
        </w:rPr>
        <w:t xml:space="preserve">, όπως συνέβαινε στην υπόθεση </w:t>
      </w:r>
      <w:proofErr w:type="spellStart"/>
      <w:r w:rsidR="0056242C" w:rsidRPr="0056242C">
        <w:rPr>
          <w:rFonts w:ascii="Times New Roman" w:hAnsi="Times New Roman" w:cs="Times New Roman"/>
          <w:i/>
          <w:sz w:val="24"/>
          <w:szCs w:val="24"/>
          <w:lang w:val="en-US"/>
        </w:rPr>
        <w:t>Gencor</w:t>
      </w:r>
      <w:proofErr w:type="spellEnd"/>
      <w:r w:rsidR="0056242C" w:rsidRPr="0056242C">
        <w:rPr>
          <w:rFonts w:ascii="Times New Roman" w:hAnsi="Times New Roman" w:cs="Times New Roman"/>
          <w:i/>
          <w:sz w:val="24"/>
          <w:szCs w:val="24"/>
        </w:rPr>
        <w:t>/</w:t>
      </w:r>
      <w:proofErr w:type="spellStart"/>
      <w:r w:rsidR="0056242C" w:rsidRPr="0056242C">
        <w:rPr>
          <w:rFonts w:ascii="Times New Roman" w:hAnsi="Times New Roman" w:cs="Times New Roman"/>
          <w:i/>
          <w:sz w:val="24"/>
          <w:szCs w:val="24"/>
          <w:lang w:val="en-US"/>
        </w:rPr>
        <w:t>Lonrho</w:t>
      </w:r>
      <w:proofErr w:type="spellEnd"/>
      <w:r w:rsidR="0056242C">
        <w:rPr>
          <w:rFonts w:ascii="Times New Roman" w:hAnsi="Times New Roman" w:cs="Times New Roman"/>
          <w:sz w:val="24"/>
          <w:szCs w:val="24"/>
        </w:rPr>
        <w:t xml:space="preserve">, ή αν υπάρχει πίστη σε κάποιο σήμα όπως συνέβαινε στην υπόθεση </w:t>
      </w:r>
      <w:proofErr w:type="spellStart"/>
      <w:r w:rsidR="0056242C" w:rsidRPr="0056242C">
        <w:rPr>
          <w:rFonts w:ascii="Times New Roman" w:hAnsi="Times New Roman" w:cs="Times New Roman"/>
          <w:i/>
          <w:sz w:val="24"/>
          <w:szCs w:val="24"/>
          <w:lang w:val="en-US"/>
        </w:rPr>
        <w:t>Nestl</w:t>
      </w:r>
      <w:proofErr w:type="spellEnd"/>
      <w:r w:rsidR="0056242C" w:rsidRPr="0056242C">
        <w:rPr>
          <w:rFonts w:ascii="Times New Roman" w:hAnsi="Times New Roman" w:cs="Times New Roman"/>
          <w:i/>
          <w:sz w:val="24"/>
          <w:szCs w:val="24"/>
        </w:rPr>
        <w:t>é</w:t>
      </w:r>
      <w:r w:rsidR="0056242C" w:rsidRPr="0056242C">
        <w:rPr>
          <w:rFonts w:ascii="Times New Roman" w:hAnsi="Times New Roman" w:cs="Times New Roman"/>
          <w:sz w:val="24"/>
          <w:szCs w:val="24"/>
        </w:rPr>
        <w:t xml:space="preserve">, </w:t>
      </w:r>
      <w:r w:rsidR="0056242C">
        <w:rPr>
          <w:rFonts w:ascii="Times New Roman" w:hAnsi="Times New Roman" w:cs="Times New Roman"/>
          <w:sz w:val="24"/>
          <w:szCs w:val="24"/>
        </w:rPr>
        <w:t>η σημασία της αγοραστικής δύναμης μειώνεται</w:t>
      </w:r>
      <w:r w:rsidR="000C4120">
        <w:rPr>
          <w:rStyle w:val="FootnoteReference"/>
          <w:rFonts w:ascii="Times New Roman" w:hAnsi="Times New Roman" w:cs="Times New Roman"/>
          <w:sz w:val="24"/>
          <w:szCs w:val="24"/>
        </w:rPr>
        <w:footnoteReference w:id="217"/>
      </w:r>
      <w:r w:rsidR="0056242C">
        <w:rPr>
          <w:rFonts w:ascii="Times New Roman" w:hAnsi="Times New Roman" w:cs="Times New Roman"/>
          <w:sz w:val="24"/>
          <w:szCs w:val="24"/>
        </w:rPr>
        <w:t>.</w:t>
      </w:r>
    </w:p>
    <w:p w:rsidR="00066186" w:rsidRPr="00066186" w:rsidRDefault="000C4120" w:rsidP="00282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Στην απόφαση </w:t>
      </w:r>
      <w:r w:rsidRPr="003650C0">
        <w:rPr>
          <w:rFonts w:ascii="Times New Roman" w:hAnsi="Times New Roman" w:cs="Times New Roman"/>
          <w:i/>
          <w:sz w:val="24"/>
          <w:szCs w:val="24"/>
          <w:lang w:val="en-US"/>
        </w:rPr>
        <w:t>Carrefour</w:t>
      </w:r>
      <w:r w:rsidRPr="003650C0">
        <w:rPr>
          <w:rFonts w:ascii="Times New Roman" w:hAnsi="Times New Roman" w:cs="Times New Roman"/>
          <w:i/>
          <w:sz w:val="24"/>
          <w:szCs w:val="24"/>
        </w:rPr>
        <w:t>/</w:t>
      </w:r>
      <w:proofErr w:type="spellStart"/>
      <w:r w:rsidRPr="003650C0">
        <w:rPr>
          <w:rFonts w:ascii="Times New Roman" w:hAnsi="Times New Roman" w:cs="Times New Roman"/>
          <w:i/>
          <w:sz w:val="24"/>
          <w:szCs w:val="24"/>
          <w:lang w:val="en-US"/>
        </w:rPr>
        <w:t>Promodes</w:t>
      </w:r>
      <w:proofErr w:type="spellEnd"/>
      <w:r w:rsidR="003650C0">
        <w:rPr>
          <w:rStyle w:val="FootnoteReference"/>
          <w:rFonts w:ascii="Times New Roman" w:hAnsi="Times New Roman" w:cs="Times New Roman"/>
          <w:i/>
          <w:sz w:val="24"/>
          <w:szCs w:val="24"/>
          <w:lang w:val="en-US"/>
        </w:rPr>
        <w:footnoteReference w:id="218"/>
      </w:r>
      <w:r w:rsidRPr="000C4120">
        <w:rPr>
          <w:rFonts w:ascii="Times New Roman" w:hAnsi="Times New Roman" w:cs="Times New Roman"/>
          <w:sz w:val="24"/>
          <w:szCs w:val="24"/>
        </w:rPr>
        <w:t xml:space="preserve">, </w:t>
      </w:r>
      <w:r>
        <w:rPr>
          <w:rFonts w:ascii="Times New Roman" w:hAnsi="Times New Roman" w:cs="Times New Roman"/>
          <w:sz w:val="24"/>
          <w:szCs w:val="24"/>
        </w:rPr>
        <w:t>η Επιτροπή διαπίστωσε ότι το μέγεθος της προκύπτουσας από τη συγκέντρωση εταιρείας κυμαινόταν στο 30%</w:t>
      </w:r>
      <w:r w:rsidR="003650C0">
        <w:rPr>
          <w:rFonts w:ascii="Times New Roman" w:hAnsi="Times New Roman" w:cs="Times New Roman"/>
          <w:sz w:val="24"/>
          <w:szCs w:val="24"/>
        </w:rPr>
        <w:t>. Η Επιτροπή σημείωσε δύο μηχανισμούς βάσει των οποίων αυξημένη αγοραστική δύναμη προερχόμενη από συγκέντρωση αγοραστών ενδέχεται να έχει αρνητικές συνέπειες για τον ανταγωνισμό. Ο ένας μηχανισμός είναι μέσω εκπτώσεων τις οποίες μπορεί η συγχωνευθείσα εταιρεία να πετύχει λόγω του συνδυασμένου μεγάλου όγκου αγορών</w:t>
      </w:r>
      <w:r w:rsidR="003650C0">
        <w:rPr>
          <w:rStyle w:val="FootnoteReference"/>
          <w:rFonts w:ascii="Times New Roman" w:hAnsi="Times New Roman" w:cs="Times New Roman"/>
          <w:sz w:val="24"/>
          <w:szCs w:val="24"/>
        </w:rPr>
        <w:footnoteReference w:id="219"/>
      </w:r>
      <w:r w:rsidR="003650C0">
        <w:rPr>
          <w:rFonts w:ascii="Times New Roman" w:hAnsi="Times New Roman" w:cs="Times New Roman"/>
          <w:sz w:val="24"/>
          <w:szCs w:val="24"/>
        </w:rPr>
        <w:t>. Αν δεν «υποχρεώνεται», λόγω του έντονου ανταγωνισμού στις αγορές όπου δραστηριοποιείται, να μετακυλίσει το επιτευχθέν χαμηλότερο κόστος πρώτων υλών σε χαμηλότερες τιμές για τους καταναλωτές, τότε σε ορισμένες περιπτώσεις αυτή η υψηλή αγοραστική δύναμη δύναται να έχει αρνητικές συνέπειες για τους καταναλωτές στην αγορά</w:t>
      </w:r>
      <w:r w:rsidR="003650C0">
        <w:rPr>
          <w:rStyle w:val="FootnoteReference"/>
          <w:rFonts w:ascii="Times New Roman" w:hAnsi="Times New Roman" w:cs="Times New Roman"/>
          <w:sz w:val="24"/>
          <w:szCs w:val="24"/>
        </w:rPr>
        <w:footnoteReference w:id="220"/>
      </w:r>
      <w:r w:rsidR="003650C0">
        <w:rPr>
          <w:rFonts w:ascii="Times New Roman" w:hAnsi="Times New Roman" w:cs="Times New Roman"/>
          <w:sz w:val="24"/>
          <w:szCs w:val="24"/>
        </w:rPr>
        <w:t xml:space="preserve">.    </w:t>
      </w:r>
    </w:p>
    <w:p w:rsidR="00066186" w:rsidRDefault="004C25A8"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Η Επιτροπή εξετάζει, επίσης, και τα υφιστάμενα εμπόδια εισόδου (νομικά ή πραγματικά) δυνητικών ανταγωνιστών στη σχετική αγορά, καθώς όταν η είσοδος στη </w:t>
      </w:r>
      <w:r w:rsidRPr="00282692">
        <w:rPr>
          <w:rFonts w:ascii="Times New Roman" w:hAnsi="Times New Roman" w:cs="Times New Roman"/>
          <w:sz w:val="24"/>
          <w:szCs w:val="24"/>
        </w:rPr>
        <w:lastRenderedPageBreak/>
        <w:t>σχετική αγορά είναι αρκετά εύκολη, η συγκέντρωση δεν είναι πιθανό να δημιουργήσει σημαντικούς κινδύνους για τον ανταγωνισμό. Για να θεωρηθεί ότι ασκεί επαρκή ανταγωνιστική πίεση στις συμμετέχουσες στη συγκέντρωση επιχειρήσεις, η είσοδος στην αγορά πρέπει να αποδεικνύεται ότι είναι πιθανή, έγκαιρη</w:t>
      </w:r>
      <w:r w:rsidR="004516F1" w:rsidRPr="00282692">
        <w:rPr>
          <w:rFonts w:ascii="Times New Roman" w:hAnsi="Times New Roman" w:cs="Times New Roman"/>
          <w:sz w:val="24"/>
          <w:szCs w:val="24"/>
        </w:rPr>
        <w:t xml:space="preserve"> και σε τέτοια κλίμακα ώστε να αποτρέψει ή να ματαιώσει τις τυχόν αντιανταγωνιστικές επιπτώσεις της συγκέντρωσης. Πιθανή θεωρείται η είσοδος στην αγορά όταν είναι αρκετά επικερδής, πράγμα που μπορεί να επαληθεύεται, ενόψει του κόστους εισόδου, του κορεσμένου ή μη χαρακτήρα της αγοράς και των προοπτικών εξέλιξής της. Η πιθανολογούμενη είσοδος νέων ανταγωνιστών στη σχετική αγορά θα πρέπει να είναι ταχεία και βιώσιμη και επιπλέον υπολογίσιμη σε εύρος και μέγεθος, ούτως ώστε να μπορεί να αποτρέψει ή να εξουδετερώσει τις αντιανταγωνιστικές επιπτώσεις της συγκέντρωσης</w:t>
      </w:r>
      <w:r w:rsidR="00066186">
        <w:rPr>
          <w:rStyle w:val="FootnoteReference"/>
          <w:rFonts w:ascii="Times New Roman" w:hAnsi="Times New Roman" w:cs="Times New Roman"/>
          <w:sz w:val="24"/>
          <w:szCs w:val="24"/>
        </w:rPr>
        <w:footnoteReference w:id="221"/>
      </w:r>
      <w:r w:rsidR="004516F1" w:rsidRPr="00282692">
        <w:rPr>
          <w:rFonts w:ascii="Times New Roman" w:hAnsi="Times New Roman" w:cs="Times New Roman"/>
          <w:sz w:val="24"/>
          <w:szCs w:val="24"/>
        </w:rPr>
        <w:t>.</w:t>
      </w:r>
    </w:p>
    <w:p w:rsidR="00BA4292" w:rsidRDefault="00BA4292" w:rsidP="002826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Σύμφωνα με την πρακτική της Επιτροπής, τα εμπόδια κατά την είσοδο στην αγορά μπορούν να πάρουν διάφορες μορφές όπως νομικά πλεονεκτήματα (ρυθμιστικά εμπόδια, λ.χ. περιορισμός του αριθμού των αδειών εκμετάλλευσης, δασμολογικοί και μη δασμολογικοί φραγμοί του εμπορίου)</w:t>
      </w:r>
      <w:r>
        <w:rPr>
          <w:rStyle w:val="FootnoteReference"/>
          <w:rFonts w:ascii="Times New Roman" w:hAnsi="Times New Roman" w:cs="Times New Roman"/>
          <w:sz w:val="24"/>
          <w:szCs w:val="24"/>
        </w:rPr>
        <w:footnoteReference w:id="222"/>
      </w:r>
      <w:r>
        <w:rPr>
          <w:rFonts w:ascii="Times New Roman" w:hAnsi="Times New Roman" w:cs="Times New Roman"/>
          <w:sz w:val="24"/>
          <w:szCs w:val="24"/>
        </w:rPr>
        <w:t xml:space="preserve">. Επίσης, οι ήδη παρούσες επιχειρήσεις είναι πιθανόν </w:t>
      </w:r>
      <w:r w:rsidR="009D3BD0">
        <w:rPr>
          <w:rFonts w:ascii="Times New Roman" w:hAnsi="Times New Roman" w:cs="Times New Roman"/>
          <w:sz w:val="24"/>
          <w:szCs w:val="24"/>
        </w:rPr>
        <w:t>να διαθέτουν τεχνικά πλεονεκτήματα, όπως η προτιμησιακή πρόσβαση σε βασικές διευκολύνσεις, φυσικούς πόρους, καινοτομία και Ε&amp;Α, ή δικαιώματα βιομηχανικής και πνευματικής ιδιοκτησίας</w:t>
      </w:r>
      <w:r w:rsidR="00214684">
        <w:rPr>
          <w:rStyle w:val="FootnoteReference"/>
          <w:rFonts w:ascii="Times New Roman" w:hAnsi="Times New Roman" w:cs="Times New Roman"/>
          <w:sz w:val="24"/>
          <w:szCs w:val="24"/>
        </w:rPr>
        <w:footnoteReference w:id="223"/>
      </w:r>
      <w:r w:rsidR="009D3BD0">
        <w:rPr>
          <w:rFonts w:ascii="Times New Roman" w:hAnsi="Times New Roman" w:cs="Times New Roman"/>
          <w:sz w:val="24"/>
          <w:szCs w:val="24"/>
        </w:rPr>
        <w:t>, πράγμα που δυσχεραίνει την προσπάθεια κάθε άλλης επιχείρησης να τις ανταγωνιστεί επιτυχώς. Άλλοι παράγοντες που μπορεί να συνιστούν επίσης εμπόδια κατά την είσοδο στην αγορά είναι οι οικονομίες κλίμακας και πεδίου, τα δίκτυα διανομής και πωλήσεων</w:t>
      </w:r>
      <w:r w:rsidR="00214684">
        <w:rPr>
          <w:rStyle w:val="FootnoteReference"/>
          <w:rFonts w:ascii="Times New Roman" w:hAnsi="Times New Roman" w:cs="Times New Roman"/>
          <w:sz w:val="24"/>
          <w:szCs w:val="24"/>
        </w:rPr>
        <w:footnoteReference w:id="224"/>
      </w:r>
      <w:r w:rsidR="009D3BD0">
        <w:rPr>
          <w:rFonts w:ascii="Times New Roman" w:hAnsi="Times New Roman" w:cs="Times New Roman"/>
          <w:sz w:val="24"/>
          <w:szCs w:val="24"/>
        </w:rPr>
        <w:t xml:space="preserve"> και η πρόσβαση σε σημαντικές τεχνολογίες. Επίσης, λαμβάνονται υπόψη ορισμένοι παράγοντες όπως η προσήλωση των πελατών σε ένα συγκεκριμένο σήμα</w:t>
      </w:r>
      <w:r w:rsidR="009D3BD0">
        <w:rPr>
          <w:rStyle w:val="FootnoteReference"/>
          <w:rFonts w:ascii="Times New Roman" w:hAnsi="Times New Roman" w:cs="Times New Roman"/>
          <w:sz w:val="24"/>
          <w:szCs w:val="24"/>
        </w:rPr>
        <w:footnoteReference w:id="225"/>
      </w:r>
      <w:r w:rsidR="009D3BD0">
        <w:rPr>
          <w:rFonts w:ascii="Times New Roman" w:hAnsi="Times New Roman" w:cs="Times New Roman"/>
          <w:sz w:val="24"/>
          <w:szCs w:val="24"/>
        </w:rPr>
        <w:t>, οι στενές σχέσεις μεταξύ προμηθευτών και πελατών, η σημασία της προώθησης της διαφήμισης, καθώς και άλλα πλεονεκτήματα που σχετίζονται με τη φήμη</w:t>
      </w:r>
      <w:r w:rsidR="009D3BD0">
        <w:rPr>
          <w:rStyle w:val="FootnoteReference"/>
          <w:rFonts w:ascii="Times New Roman" w:hAnsi="Times New Roman" w:cs="Times New Roman"/>
          <w:sz w:val="24"/>
          <w:szCs w:val="24"/>
        </w:rPr>
        <w:footnoteReference w:id="226"/>
      </w:r>
      <w:r w:rsidR="009D3BD0">
        <w:rPr>
          <w:rFonts w:ascii="Times New Roman" w:hAnsi="Times New Roman" w:cs="Times New Roman"/>
          <w:sz w:val="24"/>
          <w:szCs w:val="24"/>
        </w:rPr>
        <w:t xml:space="preserve">. </w:t>
      </w:r>
    </w:p>
    <w:p w:rsidR="004C25A8" w:rsidRPr="00282692" w:rsidRDefault="004C25A8" w:rsidP="00282692">
      <w:pPr>
        <w:spacing w:after="0" w:line="240" w:lineRule="auto"/>
        <w:ind w:firstLine="720"/>
        <w:jc w:val="both"/>
        <w:rPr>
          <w:rFonts w:ascii="Times New Roman" w:hAnsi="Times New Roman" w:cs="Times New Roman"/>
          <w:sz w:val="24"/>
          <w:szCs w:val="24"/>
        </w:rPr>
      </w:pPr>
    </w:p>
    <w:p w:rsidR="006643DF" w:rsidRPr="00282692" w:rsidRDefault="006C7E28" w:rsidP="00282692">
      <w:pPr>
        <w:spacing w:after="0" w:line="240" w:lineRule="auto"/>
        <w:jc w:val="both"/>
        <w:rPr>
          <w:rFonts w:ascii="Times New Roman" w:hAnsi="Times New Roman" w:cs="Times New Roman"/>
          <w:b/>
          <w:sz w:val="24"/>
          <w:szCs w:val="24"/>
        </w:rPr>
      </w:pPr>
      <w:r w:rsidRPr="00282692">
        <w:rPr>
          <w:rFonts w:ascii="Times New Roman" w:hAnsi="Times New Roman" w:cs="Times New Roman"/>
          <w:b/>
          <w:sz w:val="24"/>
          <w:szCs w:val="24"/>
          <w:lang w:val="en-US"/>
        </w:rPr>
        <w:t>d</w:t>
      </w:r>
      <w:r w:rsidRPr="00282692">
        <w:rPr>
          <w:rFonts w:ascii="Times New Roman" w:hAnsi="Times New Roman" w:cs="Times New Roman"/>
          <w:b/>
          <w:sz w:val="24"/>
          <w:szCs w:val="24"/>
        </w:rPr>
        <w:t>) Βελτίωση της αποτελεσματικότητας</w:t>
      </w:r>
    </w:p>
    <w:p w:rsidR="006643DF" w:rsidRPr="00282692" w:rsidRDefault="006643DF" w:rsidP="00282692">
      <w:pPr>
        <w:spacing w:after="0" w:line="240" w:lineRule="auto"/>
        <w:ind w:firstLine="720"/>
        <w:jc w:val="both"/>
        <w:rPr>
          <w:rFonts w:ascii="Times New Roman" w:hAnsi="Times New Roman" w:cs="Times New Roman"/>
          <w:sz w:val="24"/>
          <w:szCs w:val="24"/>
        </w:rPr>
      </w:pPr>
    </w:p>
    <w:p w:rsidR="00DB53B3" w:rsidRPr="00282692" w:rsidRDefault="006C7E28"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Σύμφωνα με την τέταρτη αιτιολογική σκέψη του Κανονισμού (ΕΚ) 139/2004, τα μέτρα αναδιοργάνωσης των επιχειρήσεων υπό μορφή συγκεντρώσεων μπορεί να ευθυγραμμίζονται με την απαίτηση για ύπαρξη δυναμικού ανταγωνισμού και επιπλέον είναι πιθανό να ενισχύσουν την ανταγωνιστικότητα ενός κλάδου. </w:t>
      </w:r>
      <w:r w:rsidR="00DB53B3" w:rsidRPr="00282692">
        <w:rPr>
          <w:rFonts w:ascii="Times New Roman" w:hAnsi="Times New Roman" w:cs="Times New Roman"/>
          <w:sz w:val="24"/>
          <w:szCs w:val="24"/>
        </w:rPr>
        <w:t>Δηλαδή</w:t>
      </w:r>
      <w:r w:rsidRPr="00282692">
        <w:rPr>
          <w:rFonts w:ascii="Times New Roman" w:hAnsi="Times New Roman" w:cs="Times New Roman"/>
          <w:sz w:val="24"/>
          <w:szCs w:val="24"/>
        </w:rPr>
        <w:t>,</w:t>
      </w:r>
      <w:r w:rsidR="00DB53B3" w:rsidRPr="00282692">
        <w:rPr>
          <w:rFonts w:ascii="Times New Roman" w:hAnsi="Times New Roman" w:cs="Times New Roman"/>
          <w:sz w:val="24"/>
          <w:szCs w:val="24"/>
        </w:rPr>
        <w:t xml:space="preserve"> όπως αναγνωρίζεται στο Προοίμιο του Κανονισμού (ΕΚ) 139/2004,</w:t>
      </w:r>
      <w:r w:rsidRPr="00C31A39">
        <w:rPr>
          <w:rFonts w:ascii="Times New Roman" w:hAnsi="Times New Roman" w:cs="Times New Roman"/>
          <w:b/>
          <w:sz w:val="24"/>
          <w:szCs w:val="24"/>
          <w:u w:val="single"/>
        </w:rPr>
        <w:t>η προκαλούμενη από τη συγκέντρωση βελτίωση της αποτελεσματικότητας είναι δυνατόν να εξουδετερώνει τις δυσμενείς για τον ανταγωνισμό συνέπειες της συγκέντρωσης και, ιδίως, τη δυνητική ζημία για τους καταναλωτές</w:t>
      </w:r>
      <w:r w:rsidRPr="00282692">
        <w:rPr>
          <w:rStyle w:val="FootnoteReference"/>
          <w:rFonts w:ascii="Times New Roman" w:hAnsi="Times New Roman" w:cs="Times New Roman"/>
          <w:sz w:val="24"/>
          <w:szCs w:val="24"/>
        </w:rPr>
        <w:footnoteReference w:id="227"/>
      </w:r>
      <w:r w:rsidRPr="00282692">
        <w:rPr>
          <w:rFonts w:ascii="Times New Roman" w:hAnsi="Times New Roman" w:cs="Times New Roman"/>
          <w:sz w:val="24"/>
          <w:szCs w:val="24"/>
        </w:rPr>
        <w:t>.</w:t>
      </w:r>
    </w:p>
    <w:p w:rsidR="006643DF" w:rsidRPr="00282692" w:rsidRDefault="00DB53B3"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lastRenderedPageBreak/>
        <w:t>Η διαπίστωση αυτή υποχρεώνει την Επιτροπή, κατά την αξιολόγηση της συγκέντρωσης, να λαμβάνει υπόψη της τους παράγοντες που αναφέρονται στο άρθρο 2 παρ. 1 του Κανονισμού (ΕΚ) 139/2004, μεταξύ των οποίων περιλαμβάνεται και η εξέλιξη της τεχνικής και οικονομικής προόδου. Ωστόσο, ο παράγοντας αυτός λαμβάνεται υπόψη μόνο στο μέτρο που η τεχνική και η οικονομική πρόοδος είναι επαληθεύσιμη, αποβαίνει προς όφελος του καταναλωτή (υπό τη μορφή της μείωσης των τιμών ή της προσφοράς νέων ή/και βελτιωμένων προϊόντων ή υπηρεσιών) και τηρείται η αρχή της αναλογικότητας</w:t>
      </w:r>
      <w:r w:rsidR="005261B7" w:rsidRPr="00282692">
        <w:rPr>
          <w:rFonts w:ascii="Times New Roman" w:hAnsi="Times New Roman" w:cs="Times New Roman"/>
          <w:sz w:val="24"/>
          <w:szCs w:val="24"/>
        </w:rPr>
        <w:t>, υπό την έννοια ότι η βελτίωση της αποτελεσματικότητας δεν μπορεί να επιτευχθεί στον ίδιο βαθμό με λιγότερο επιζήμιουςγια τον ανταγωνισμό εναλλακτικούς τρόπους.</w:t>
      </w:r>
    </w:p>
    <w:p w:rsidR="00B76980" w:rsidRPr="00282692" w:rsidRDefault="00B76980"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Σε πρόσφατες αποφάσεις συγκεντρώσεων, το επιχείρημα της βελτίωσης της αποτελεσματικότητας έτυχε μεγαλύτερης προσοχής από μέρους της Επιτροπής</w:t>
      </w:r>
      <w:r w:rsidR="00261C4D" w:rsidRPr="00282692">
        <w:rPr>
          <w:rFonts w:ascii="Times New Roman" w:hAnsi="Times New Roman" w:cs="Times New Roman"/>
          <w:sz w:val="24"/>
          <w:szCs w:val="24"/>
        </w:rPr>
        <w:t xml:space="preserve"> σε σχέση με το παρελθόν</w:t>
      </w:r>
      <w:r w:rsidRPr="00282692">
        <w:rPr>
          <w:rStyle w:val="FootnoteReference"/>
          <w:rFonts w:ascii="Times New Roman" w:hAnsi="Times New Roman" w:cs="Times New Roman"/>
          <w:sz w:val="24"/>
          <w:szCs w:val="24"/>
        </w:rPr>
        <w:footnoteReference w:id="228"/>
      </w:r>
      <w:r w:rsidRPr="00282692">
        <w:rPr>
          <w:rFonts w:ascii="Times New Roman" w:hAnsi="Times New Roman" w:cs="Times New Roman"/>
          <w:sz w:val="24"/>
          <w:szCs w:val="24"/>
        </w:rPr>
        <w:t>. Επιπλέον, διακρίνεται σαφώς η τάση της Επιτροπής να λαμβάνει υπόψη τα οφέλη της συγκέντρωσης στον τομέα της οικονομικής αποτελεσματικότητας</w:t>
      </w:r>
      <w:r w:rsidRPr="00282692">
        <w:rPr>
          <w:rStyle w:val="FootnoteReference"/>
          <w:rFonts w:ascii="Times New Roman" w:hAnsi="Times New Roman" w:cs="Times New Roman"/>
          <w:sz w:val="24"/>
          <w:szCs w:val="24"/>
        </w:rPr>
        <w:footnoteReference w:id="229"/>
      </w:r>
      <w:r w:rsidRPr="00282692">
        <w:rPr>
          <w:rFonts w:ascii="Times New Roman" w:hAnsi="Times New Roman" w:cs="Times New Roman"/>
          <w:sz w:val="24"/>
          <w:szCs w:val="24"/>
        </w:rPr>
        <w:t>, κατονομάζοντας μάλιστα ορισμένες δραστηριότητες οι οποίες, κατά την εκτίμησή της, συνεπάγονται βελτίωση της αποτελεσματικότητας χωρίς να παρίσταται ανάγκη για ενδελεχή ανάλυση των συνεπειών τους</w:t>
      </w:r>
      <w:r w:rsidRPr="00282692">
        <w:rPr>
          <w:rStyle w:val="FootnoteReference"/>
          <w:rFonts w:ascii="Times New Roman" w:hAnsi="Times New Roman" w:cs="Times New Roman"/>
          <w:sz w:val="24"/>
          <w:szCs w:val="24"/>
        </w:rPr>
        <w:footnoteReference w:id="230"/>
      </w:r>
      <w:r w:rsidRPr="00282692">
        <w:rPr>
          <w:rFonts w:ascii="Times New Roman" w:hAnsi="Times New Roman" w:cs="Times New Roman"/>
          <w:sz w:val="24"/>
          <w:szCs w:val="24"/>
        </w:rPr>
        <w:t xml:space="preserve">.   </w:t>
      </w:r>
    </w:p>
    <w:p w:rsidR="00426C0A" w:rsidRPr="00282692" w:rsidRDefault="00B76980"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Παρά την ανωτέρω εξέλιξη, οι μέχρι σήμερα εκδοθείσες αποφάσεις περί συγκεντρώσεων δεν επιτρέπουν μια επακριβή θεώρηση του ρόλου της αύξησης της αποτελεσματικότητας κατά τον έλεγχο της συμβατότητας μιας συγκέντρωσης με την εσωτερική αγορά. Τούτο οφείλεται, σε κάποιο βαθμό, στο ότι, στη μέχρι σήμερα πρακτική της Επιτροπής, δεν εντοπίζεται απόφαση η οποία να κηρύσσει μια συγκέντρωση συμβατή με την εσωτερική αγορά αποκλειστικά με βάση το θετικό αντίκτυπο της συγκέντρωσης στην οικονομική αποτελεσματικότητα. Αντίθετα, η τάση της Επιτροπής είναι να θεμελιώνει τη συμβατότητα συγκεντρώσεων με την εσωτερική αγορά κυρίως σε άλλους παράγοντες, αποφεύγοντας με τον τρόπο αυτό μια επακριβή στάθμιση των θετικών και των αρνητικών συνεπειών της κρινόμενης συγκέντρωσης για την οικονομική αποτελεσματικότητα</w:t>
      </w:r>
      <w:r w:rsidRPr="00282692">
        <w:rPr>
          <w:rStyle w:val="FootnoteReference"/>
          <w:rFonts w:ascii="Times New Roman" w:hAnsi="Times New Roman" w:cs="Times New Roman"/>
          <w:sz w:val="24"/>
          <w:szCs w:val="24"/>
        </w:rPr>
        <w:footnoteReference w:id="231"/>
      </w:r>
      <w:r w:rsidRPr="00282692">
        <w:rPr>
          <w:rFonts w:ascii="Times New Roman" w:hAnsi="Times New Roman" w:cs="Times New Roman"/>
          <w:sz w:val="24"/>
          <w:szCs w:val="24"/>
        </w:rPr>
        <w:t>.</w:t>
      </w:r>
    </w:p>
    <w:p w:rsidR="00C36624" w:rsidRPr="00282692" w:rsidRDefault="00C36624" w:rsidP="00282692">
      <w:pPr>
        <w:spacing w:after="0" w:line="240" w:lineRule="auto"/>
        <w:ind w:firstLine="720"/>
        <w:jc w:val="both"/>
        <w:rPr>
          <w:rFonts w:ascii="Times New Roman" w:hAnsi="Times New Roman" w:cs="Times New Roman"/>
          <w:sz w:val="24"/>
          <w:szCs w:val="24"/>
        </w:rPr>
      </w:pPr>
    </w:p>
    <w:p w:rsidR="00261C4D" w:rsidRPr="00282692" w:rsidRDefault="00261C4D" w:rsidP="00282692">
      <w:pPr>
        <w:spacing w:line="240" w:lineRule="auto"/>
        <w:jc w:val="both"/>
        <w:rPr>
          <w:rFonts w:ascii="Times New Roman" w:hAnsi="Times New Roman" w:cs="Times New Roman"/>
          <w:b/>
          <w:sz w:val="24"/>
          <w:szCs w:val="24"/>
        </w:rPr>
      </w:pPr>
      <w:r w:rsidRPr="00282692">
        <w:rPr>
          <w:rFonts w:ascii="Times New Roman" w:hAnsi="Times New Roman" w:cs="Times New Roman"/>
          <w:b/>
          <w:sz w:val="24"/>
          <w:szCs w:val="24"/>
          <w:lang w:val="en-US"/>
        </w:rPr>
        <w:t>e</w:t>
      </w:r>
      <w:r w:rsidRPr="00282692">
        <w:rPr>
          <w:rFonts w:ascii="Times New Roman" w:hAnsi="Times New Roman" w:cs="Times New Roman"/>
          <w:b/>
          <w:sz w:val="24"/>
          <w:szCs w:val="24"/>
        </w:rPr>
        <w:t>) Αιτιώδης σύνδεσμος μεταξύ της συγκέντρωσης και της δημιουργίας ή της ενίσχυσης δεσπόζουσας θέσης στην κοινή αγορά ή σε σημαντικό τμήμα της</w:t>
      </w:r>
    </w:p>
    <w:p w:rsidR="00224E73" w:rsidRPr="00282692" w:rsidRDefault="00261C4D"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b/>
          <w:sz w:val="24"/>
          <w:szCs w:val="24"/>
        </w:rPr>
        <w:lastRenderedPageBreak/>
        <w:tab/>
      </w:r>
      <w:r w:rsidRPr="00282692">
        <w:rPr>
          <w:rFonts w:ascii="Times New Roman" w:hAnsi="Times New Roman" w:cs="Times New Roman"/>
          <w:sz w:val="24"/>
          <w:szCs w:val="24"/>
        </w:rPr>
        <w:t xml:space="preserve">Επηρεασμένη από την, αμερικανικής προέλευσης, </w:t>
      </w:r>
      <w:r w:rsidR="00224E73" w:rsidRPr="00282692">
        <w:rPr>
          <w:rFonts w:ascii="Times New Roman" w:hAnsi="Times New Roman" w:cs="Times New Roman"/>
          <w:sz w:val="24"/>
          <w:szCs w:val="24"/>
        </w:rPr>
        <w:t>θεωρία της “</w:t>
      </w:r>
      <w:r w:rsidR="00224E73" w:rsidRPr="00282692">
        <w:rPr>
          <w:rFonts w:ascii="Times New Roman" w:hAnsi="Times New Roman" w:cs="Times New Roman"/>
          <w:sz w:val="24"/>
          <w:szCs w:val="24"/>
          <w:lang w:val="en-US"/>
        </w:rPr>
        <w:t>failingfirmdefense</w:t>
      </w:r>
      <w:r w:rsidR="00224E73" w:rsidRPr="00282692">
        <w:rPr>
          <w:rFonts w:ascii="Times New Roman" w:hAnsi="Times New Roman" w:cs="Times New Roman"/>
          <w:sz w:val="24"/>
          <w:szCs w:val="24"/>
        </w:rPr>
        <w:t xml:space="preserve">” (άμυνα της καταρρέουσας επιχείρησης), η Επιτροπή έχει κρίνει ως αναγκαία για την απαγόρευση της συγκέντρωσης </w:t>
      </w:r>
      <w:r w:rsidR="00224E73" w:rsidRPr="00176031">
        <w:rPr>
          <w:rFonts w:ascii="Times New Roman" w:hAnsi="Times New Roman" w:cs="Times New Roman"/>
          <w:b/>
          <w:sz w:val="24"/>
          <w:szCs w:val="24"/>
          <w:u w:val="single"/>
        </w:rPr>
        <w:t>την ύπαρξη αιτιώδους συνδέσμου μεταξύ της πράξης της συγκέντρωσης και του προκαλούμενου σημαντικού περιορισμού του ανταγωνισμού, ιδίως με τη δημιουργία ή την ενίσχυση δεσπόζουσας θέσης στη σχετική αγορά.</w:t>
      </w:r>
    </w:p>
    <w:p w:rsidR="00224E73" w:rsidRPr="00282692" w:rsidRDefault="00224E73"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 Κατά την Επιτροπή, θεωρείται ότι δεν υπάρχει αυτός ο αιτιώδης σύνδεσμος όταν συντρέχουν σωρευτικά οι ακόλουθες προϋποθέσεις:</w:t>
      </w:r>
    </w:p>
    <w:p w:rsidR="00224E73" w:rsidRPr="00282692" w:rsidRDefault="00224E73"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α) η εξαγοραζόμενη προβληματική επιχείρηση θα αναγκαζόταν να αποσυρθεί από την αγορά στο εγγύς μέλλον λόγω των οικονομικών δυσχερειών που αντιμετωπίζει, αν δεν την αγόραζε άλλη επιχείρηση.</w:t>
      </w:r>
    </w:p>
    <w:p w:rsidR="00224E73" w:rsidRPr="00282692" w:rsidRDefault="00224E73"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β) η εξαγοράζουσα επιχείρηση θα ανακτούσε το μερίδιο αγοράς της εξαγοραζόμενης επιχείρησης, αν αυτή επρόκειτο να εξαφανιστεί από την αγορά και</w:t>
      </w:r>
    </w:p>
    <w:p w:rsidR="00BF20E1" w:rsidRPr="00282692" w:rsidRDefault="00224E73"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γ) δεν υφίσταται άλλη εναλλακτική επιλογή διάσωσης της προβληματικής επιχείρησης λιγότερο επιζήμια για τον ανταγωνισμό, εκτός από την κοινοποιηθείσα </w:t>
      </w:r>
      <w:r w:rsidR="00BF20E1" w:rsidRPr="00282692">
        <w:rPr>
          <w:rFonts w:ascii="Times New Roman" w:hAnsi="Times New Roman" w:cs="Times New Roman"/>
          <w:sz w:val="24"/>
          <w:szCs w:val="24"/>
        </w:rPr>
        <w:t>συγκέντρωση</w:t>
      </w:r>
      <w:r w:rsidR="002A1056" w:rsidRPr="00282692">
        <w:rPr>
          <w:rStyle w:val="FootnoteReference"/>
          <w:rFonts w:ascii="Times New Roman" w:hAnsi="Times New Roman" w:cs="Times New Roman"/>
          <w:sz w:val="24"/>
          <w:szCs w:val="24"/>
        </w:rPr>
        <w:footnoteReference w:id="232"/>
      </w:r>
      <w:r w:rsidRPr="00282692">
        <w:rPr>
          <w:rFonts w:ascii="Times New Roman" w:hAnsi="Times New Roman" w:cs="Times New Roman"/>
          <w:sz w:val="24"/>
          <w:szCs w:val="24"/>
        </w:rPr>
        <w:t>.</w:t>
      </w:r>
    </w:p>
    <w:p w:rsidR="00282692" w:rsidRPr="00282692" w:rsidRDefault="00BF20E1" w:rsidP="00282692">
      <w:pPr>
        <w:spacing w:after="0" w:line="240" w:lineRule="auto"/>
        <w:jc w:val="both"/>
        <w:rPr>
          <w:rFonts w:ascii="Times New Roman" w:hAnsi="Times New Roman" w:cs="Times New Roman"/>
          <w:b/>
          <w:sz w:val="24"/>
          <w:szCs w:val="24"/>
        </w:rPr>
      </w:pPr>
      <w:r w:rsidRPr="00282692">
        <w:rPr>
          <w:rFonts w:ascii="Times New Roman" w:hAnsi="Times New Roman" w:cs="Times New Roman"/>
          <w:sz w:val="24"/>
          <w:szCs w:val="24"/>
        </w:rPr>
        <w:tab/>
        <w:t>Εάν συντρέχουν οι παραπάνω προϋποθέσεις, τότε η πράξη της συγκέντρωσης είναι ουδέτερη σε σχέση με την επιδείνωση της διάρθρωσης του ανταγωνισμού στην αγορά και, επομένως, δεν υφίσταται αιτιώδης σύνδεσμος μεταξύ της συγκέντρωσης και του προκαλούμενου σημαντικού περιορισμού του ανταγωνισμού, αφού η επιδείνωση της διάρθρωσης του ανταγωνισμού, που αποτελεί επακόλουθο της πράξης συγκεντρώσεως, θα επερχόταν, ούτως ή άλλως, δηλαδή έστω και αν δεν λάμβανε χώρα η συγκέντρωση. Τέλος, επισημαίνεται ότι οι ανωτέρω προϋποθέσεις φαίνεται ότι συντρέχουν συνήθως στην περίπτωση εξαγοράς μιας προβληματικής επιχείρησης</w:t>
      </w:r>
      <w:r w:rsidR="003A5FAB">
        <w:rPr>
          <w:rStyle w:val="FootnoteReference"/>
          <w:rFonts w:ascii="Times New Roman" w:hAnsi="Times New Roman" w:cs="Times New Roman"/>
          <w:sz w:val="24"/>
          <w:szCs w:val="24"/>
        </w:rPr>
        <w:footnoteReference w:id="233"/>
      </w:r>
      <w:r w:rsidRPr="00282692">
        <w:rPr>
          <w:rFonts w:ascii="Times New Roman" w:hAnsi="Times New Roman" w:cs="Times New Roman"/>
          <w:sz w:val="24"/>
          <w:szCs w:val="24"/>
        </w:rPr>
        <w:t xml:space="preserve">.     </w:t>
      </w:r>
    </w:p>
    <w:p w:rsidR="00282692" w:rsidRPr="00B95AD5" w:rsidRDefault="00282692" w:rsidP="00282692">
      <w:pPr>
        <w:spacing w:after="0" w:line="240" w:lineRule="auto"/>
        <w:jc w:val="both"/>
        <w:rPr>
          <w:rFonts w:ascii="Times New Roman" w:hAnsi="Times New Roman" w:cs="Times New Roman"/>
          <w:b/>
          <w:sz w:val="24"/>
          <w:szCs w:val="24"/>
        </w:rPr>
      </w:pPr>
    </w:p>
    <w:p w:rsidR="00DD7A4F" w:rsidRPr="00282692" w:rsidRDefault="00D322CE" w:rsidP="002826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iii</w:t>
      </w:r>
      <w:r w:rsidR="00DD7A4F" w:rsidRPr="00282692">
        <w:rPr>
          <w:rFonts w:ascii="Times New Roman" w:hAnsi="Times New Roman" w:cs="Times New Roman"/>
          <w:b/>
          <w:sz w:val="24"/>
          <w:szCs w:val="24"/>
        </w:rPr>
        <w:t>) Ειδικές αρχές</w:t>
      </w:r>
      <w:r w:rsidR="00E83EA7" w:rsidRPr="00282692">
        <w:rPr>
          <w:rFonts w:ascii="Times New Roman" w:hAnsi="Times New Roman" w:cs="Times New Roman"/>
          <w:b/>
          <w:sz w:val="24"/>
          <w:szCs w:val="24"/>
        </w:rPr>
        <w:t xml:space="preserve"> αξιολόγησης</w:t>
      </w:r>
      <w:r w:rsidR="00DD7A4F" w:rsidRPr="00282692">
        <w:rPr>
          <w:rFonts w:ascii="Times New Roman" w:hAnsi="Times New Roman" w:cs="Times New Roman"/>
          <w:b/>
          <w:sz w:val="24"/>
          <w:szCs w:val="24"/>
        </w:rPr>
        <w:t xml:space="preserve"> ως προς τις οριζόντιες συγκεντρώσεις (ή συγκεντρώσεις που οδηγούν σε συντονισμένη συμπεριφορά)</w:t>
      </w:r>
    </w:p>
    <w:p w:rsidR="00DD7A4F" w:rsidRPr="00282692" w:rsidRDefault="00DD7A4F" w:rsidP="00282692">
      <w:pPr>
        <w:spacing w:after="0" w:line="240" w:lineRule="auto"/>
        <w:jc w:val="both"/>
        <w:rPr>
          <w:rFonts w:ascii="Times New Roman" w:hAnsi="Times New Roman" w:cs="Times New Roman"/>
          <w:b/>
          <w:sz w:val="24"/>
          <w:szCs w:val="24"/>
        </w:rPr>
      </w:pPr>
    </w:p>
    <w:p w:rsidR="0006224D" w:rsidRPr="00282692" w:rsidRDefault="00821693"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b/>
          <w:sz w:val="24"/>
          <w:szCs w:val="24"/>
        </w:rPr>
        <w:tab/>
      </w:r>
      <w:r w:rsidRPr="00282692">
        <w:rPr>
          <w:rFonts w:ascii="Times New Roman" w:hAnsi="Times New Roman" w:cs="Times New Roman"/>
          <w:sz w:val="24"/>
          <w:szCs w:val="24"/>
        </w:rPr>
        <w:t>Σε ορισμένες αγορές, λόγω της ολιγοπωλιακής</w:t>
      </w:r>
      <w:r w:rsidR="0006224D" w:rsidRPr="00282692">
        <w:rPr>
          <w:rFonts w:ascii="Times New Roman" w:hAnsi="Times New Roman" w:cs="Times New Roman"/>
          <w:sz w:val="24"/>
          <w:szCs w:val="24"/>
        </w:rPr>
        <w:t xml:space="preserve">διάρθρωσης τους, οι επιχειρήσεις μπορεί να θεωρούν εφικτό, οικονομικά ορθολογικό και, συνεπώς, προτιμότερο να υιοθετήσουν σε μόνιμη βάση μια συγκεκριμένη τακτική, με στόχο την πραγματοποίηση πωλήσεων σε αυξημένες τιμές. Συγκεντρώσεις σε αγορές που παρουσιάζουν υψηλό βαθμό συγκέντρωσης μπορεί να εμποδίσουν σημαντικά τον αποτελεσματικό ανταγωνισμό, με τη δημιουργία ή την ενίσχυση συλλογικής δεσπόζουσας θέσης, επειδή </w:t>
      </w:r>
      <w:r w:rsidR="0006224D" w:rsidRPr="00176031">
        <w:rPr>
          <w:rFonts w:ascii="Times New Roman" w:hAnsi="Times New Roman" w:cs="Times New Roman"/>
          <w:b/>
          <w:sz w:val="24"/>
          <w:szCs w:val="24"/>
        </w:rPr>
        <w:t>αυξάνουν την πιθανότητα συντονισμού</w:t>
      </w:r>
      <w:r w:rsidR="0006224D" w:rsidRPr="00282692">
        <w:rPr>
          <w:rFonts w:ascii="Times New Roman" w:hAnsi="Times New Roman" w:cs="Times New Roman"/>
          <w:sz w:val="24"/>
          <w:szCs w:val="24"/>
        </w:rPr>
        <w:t xml:space="preserve"> της συμπεριφοράς των επιχειρήσεων ή </w:t>
      </w:r>
      <w:r w:rsidR="0006224D" w:rsidRPr="00176031">
        <w:rPr>
          <w:rFonts w:ascii="Times New Roman" w:hAnsi="Times New Roman" w:cs="Times New Roman"/>
          <w:b/>
          <w:sz w:val="24"/>
          <w:szCs w:val="24"/>
        </w:rPr>
        <w:t>καθιστούν ευκολότερο τον συντονισμό</w:t>
      </w:r>
      <w:r w:rsidR="0006224D" w:rsidRPr="00282692">
        <w:rPr>
          <w:rFonts w:ascii="Times New Roman" w:hAnsi="Times New Roman" w:cs="Times New Roman"/>
          <w:sz w:val="24"/>
          <w:szCs w:val="24"/>
        </w:rPr>
        <w:t xml:space="preserve"> και, με τον τρόπο αυτό, την αύξηση των τιμών ή τον περιορισμό της παραγωγικής ικανότητας ή τη γεωγραφική κατανομή των αγορών, ακόμα και χωρίς προσφυγή σε συμφωνία ή εναρμονισμένη πρακτική με την έννοια του άρθρου 101 παρ. 1 ΣΛΕΕ.</w:t>
      </w:r>
    </w:p>
    <w:p w:rsidR="006A55A5" w:rsidRPr="00282692" w:rsidRDefault="0006224D"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sz w:val="24"/>
          <w:szCs w:val="24"/>
        </w:rPr>
        <w:tab/>
        <w:t xml:space="preserve">Συντονισμός είναι πιθανότερο να ανακύψει σε αγορές στις οποίες είναι σχετικά απλό για τα μέρη να καταλήξουν σε συνεννόηση όσον αφορά τους όρους του συντονισμού. Σε γενικές γραμμές, όσο λιγότερο περίπλοκο και περισσότερο σταθερό και διαφανές είναι το οικονομικό περιβάλλον εντός του οποίου λαμβάνει χώρα η συγκέντρωση, τόσο πιο εύκολο είναι για τις επιχειρήσεις </w:t>
      </w:r>
      <w:r w:rsidR="006A55A5" w:rsidRPr="00282692">
        <w:rPr>
          <w:rFonts w:ascii="Times New Roman" w:hAnsi="Times New Roman" w:cs="Times New Roman"/>
          <w:sz w:val="24"/>
          <w:szCs w:val="24"/>
        </w:rPr>
        <w:t xml:space="preserve">να καταλήξουν σε κοινή συμφωνίαγια τους όρους συντονισμού. </w:t>
      </w:r>
      <w:r w:rsidR="006A55A5" w:rsidRPr="00176031">
        <w:rPr>
          <w:rFonts w:ascii="Times New Roman" w:hAnsi="Times New Roman" w:cs="Times New Roman"/>
          <w:b/>
          <w:sz w:val="24"/>
          <w:szCs w:val="24"/>
          <w:u w:val="single"/>
        </w:rPr>
        <w:t>Ο συντονισμός πρέπει να αποδεικνύεται βιώσιμος</w:t>
      </w:r>
      <w:r w:rsidR="006A55A5" w:rsidRPr="00282692">
        <w:rPr>
          <w:rFonts w:ascii="Times New Roman" w:hAnsi="Times New Roman" w:cs="Times New Roman"/>
          <w:sz w:val="24"/>
          <w:szCs w:val="24"/>
        </w:rPr>
        <w:t xml:space="preserve">, το οποίο σημαίνει ότι οι επιχειρήσεις πρέπει να είναι σε θέση να ελέγχουν </w:t>
      </w:r>
      <w:r w:rsidR="006A55A5" w:rsidRPr="00282692">
        <w:rPr>
          <w:rFonts w:ascii="Times New Roman" w:hAnsi="Times New Roman" w:cs="Times New Roman"/>
          <w:sz w:val="24"/>
          <w:szCs w:val="24"/>
        </w:rPr>
        <w:lastRenderedPageBreak/>
        <w:t xml:space="preserve">σε επαρκή βαθμό την τήρηση των όρων του συντονισμού, να υπάρχουν επαρκείς αποτρεπτικοί μηχανισμοί σε περίπτωση παρέκκλισης και οι πραγματικοί ή δυνητικοί ανταγωνιστές τους να μην είναι ικανοί να θέσουν σε κίνδυνο τα </w:t>
      </w:r>
      <w:r w:rsidR="002D6781" w:rsidRPr="00282692">
        <w:rPr>
          <w:rFonts w:ascii="Times New Roman" w:hAnsi="Times New Roman" w:cs="Times New Roman"/>
          <w:sz w:val="24"/>
          <w:szCs w:val="24"/>
        </w:rPr>
        <w:t>προσδοκώμενα</w:t>
      </w:r>
      <w:r w:rsidR="006A55A5" w:rsidRPr="00282692">
        <w:rPr>
          <w:rFonts w:ascii="Times New Roman" w:hAnsi="Times New Roman" w:cs="Times New Roman"/>
          <w:sz w:val="24"/>
          <w:szCs w:val="24"/>
        </w:rPr>
        <w:t xml:space="preserve"> από τον συντονισμό αποτελέσματα.</w:t>
      </w:r>
    </w:p>
    <w:p w:rsidR="00DD7A4F" w:rsidRPr="00282692" w:rsidRDefault="006A55A5"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Κατά την αξιολόγηση των επιπτώσεων μιας συγκέντρωσης που οδηγεί σε συντονισμένη συμπεριφορά στην εσωτερική αγορά, λαμβάνονται υπόψη, μεταξύ των άλλων, τα διαρθρωτικά χαρακτηριστικά της συγκεκριμένης αγοράς στην οποία λαμβάνει χώρα η συγκέντρωση, καθώς επίσης και η προηγούμενη συμπεριφορά των επιχειρήσεων που συμμετέχουν στη συγκέντρωση και άλλων που δρουν στην ίδια σχετική αγορά ή σε παρόμοιες ή σε συγγενές αγορές.   </w:t>
      </w:r>
    </w:p>
    <w:p w:rsidR="00DD7A4F" w:rsidRPr="00282692" w:rsidRDefault="00DD7A4F" w:rsidP="00282692">
      <w:pPr>
        <w:spacing w:after="0" w:line="240" w:lineRule="auto"/>
        <w:jc w:val="both"/>
        <w:rPr>
          <w:rFonts w:ascii="Times New Roman" w:hAnsi="Times New Roman" w:cs="Times New Roman"/>
          <w:b/>
          <w:sz w:val="24"/>
          <w:szCs w:val="24"/>
        </w:rPr>
      </w:pPr>
    </w:p>
    <w:p w:rsidR="00E83EA7" w:rsidRPr="00282692" w:rsidRDefault="00D322CE" w:rsidP="00282692">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iv</w:t>
      </w:r>
      <w:r w:rsidR="00E83EA7" w:rsidRPr="00282692">
        <w:rPr>
          <w:rFonts w:ascii="Times New Roman" w:hAnsi="Times New Roman" w:cs="Times New Roman"/>
          <w:b/>
          <w:sz w:val="24"/>
          <w:szCs w:val="24"/>
        </w:rPr>
        <w:t>) Ειδικές</w:t>
      </w:r>
      <w:proofErr w:type="gramEnd"/>
      <w:r w:rsidR="00E83EA7" w:rsidRPr="00282692">
        <w:rPr>
          <w:rFonts w:ascii="Times New Roman" w:hAnsi="Times New Roman" w:cs="Times New Roman"/>
          <w:b/>
          <w:sz w:val="24"/>
          <w:szCs w:val="24"/>
        </w:rPr>
        <w:t xml:space="preserve"> αρχές αξιολόγησης ως προς τις μη οριζόντιες συγκεντρώσεις (ή συγκεντρώσεις που οδηγούν σε συντονισμένη συμπεριφορά)</w:t>
      </w:r>
    </w:p>
    <w:p w:rsidR="004D164F" w:rsidRPr="00282692" w:rsidRDefault="004D164F" w:rsidP="00282692">
      <w:pPr>
        <w:spacing w:after="0" w:line="240" w:lineRule="auto"/>
        <w:jc w:val="both"/>
        <w:rPr>
          <w:rFonts w:ascii="Times New Roman" w:hAnsi="Times New Roman" w:cs="Times New Roman"/>
          <w:b/>
          <w:sz w:val="24"/>
          <w:szCs w:val="24"/>
        </w:rPr>
      </w:pPr>
    </w:p>
    <w:p w:rsidR="002D6781" w:rsidRPr="00282692" w:rsidRDefault="004D164F" w:rsidP="00282692">
      <w:pPr>
        <w:spacing w:after="0" w:line="240" w:lineRule="auto"/>
        <w:jc w:val="both"/>
        <w:rPr>
          <w:rFonts w:ascii="Times New Roman" w:hAnsi="Times New Roman" w:cs="Times New Roman"/>
          <w:sz w:val="24"/>
          <w:szCs w:val="24"/>
        </w:rPr>
      </w:pPr>
      <w:r w:rsidRPr="00282692">
        <w:rPr>
          <w:rFonts w:ascii="Times New Roman" w:hAnsi="Times New Roman" w:cs="Times New Roman"/>
          <w:b/>
          <w:sz w:val="24"/>
          <w:szCs w:val="24"/>
        </w:rPr>
        <w:tab/>
      </w:r>
      <w:r w:rsidR="002D6781" w:rsidRPr="00282692">
        <w:rPr>
          <w:rFonts w:ascii="Times New Roman" w:hAnsi="Times New Roman" w:cs="Times New Roman"/>
          <w:sz w:val="24"/>
          <w:szCs w:val="24"/>
        </w:rPr>
        <w:t xml:space="preserve">Σε αντίθεση προς τις οριζόντιες συγκεντρώσεις, </w:t>
      </w:r>
      <w:r w:rsidR="002D6781" w:rsidRPr="00176031">
        <w:rPr>
          <w:rFonts w:ascii="Times New Roman" w:hAnsi="Times New Roman" w:cs="Times New Roman"/>
          <w:b/>
          <w:sz w:val="24"/>
          <w:szCs w:val="24"/>
          <w:u w:val="single"/>
        </w:rPr>
        <w:t>οι μη οριζόντιες συγκεντρώσεις δεν συνεπάγονται άμεσα τον περιορισμό του ανταγωνισμού μεταξύ των επιχειρήσεων που συμμετέχουν στη συγκέντρωση στην ίδια σχετική αγορά.</w:t>
      </w:r>
      <w:r w:rsidR="002D6781" w:rsidRPr="00282692">
        <w:rPr>
          <w:rFonts w:ascii="Times New Roman" w:hAnsi="Times New Roman" w:cs="Times New Roman"/>
          <w:sz w:val="24"/>
          <w:szCs w:val="24"/>
        </w:rPr>
        <w:t xml:space="preserve"> Αυτό σημαίνει ότι η κύρια πηγή επιβλαβών συνεπειών για τον ανταγωνισμό που συναντάται στις οριζόντιες συγκεντρώσεις απουσιάζει στις κάθετες συγκεντρώσεις ή συγκεντρώσεις επιχειρήσεων ετερογενών δραστηριοτήτων. Επίσης, </w:t>
      </w:r>
      <w:r w:rsidR="002D6781" w:rsidRPr="00176031">
        <w:rPr>
          <w:rFonts w:ascii="Times New Roman" w:hAnsi="Times New Roman" w:cs="Times New Roman"/>
          <w:b/>
          <w:sz w:val="24"/>
          <w:szCs w:val="24"/>
          <w:u w:val="single"/>
        </w:rPr>
        <w:t>οι κάθετες συγκεντρώσεις και οι συγκεντρώσεις επιχειρήσεων ετερογενών δραστηριοτήτων παρέχουν σημαντικό περιθώριο για βελτίωση της αποτελεσματικότητας.</w:t>
      </w:r>
    </w:p>
    <w:p w:rsidR="00A72769" w:rsidRPr="00B95AD5" w:rsidRDefault="002D6781"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Χαρακτηριστικό των κάθετων και ορισμένων συγκεντρώσεων επιχειρήσεων ετερογενών δραστηριοτήτων είναι ότι οι δραστηριότητες ή/και τα προϊόντα των εταιρειών που συμμετέχουν στη συγκέντρωση είναι συμπληρωματικά μεταξύ τους. Η ενσωμάτωση συμπληρωματικών δραστηριοτήτων ή προϊόντων στην ίδια επιχείρηση μπορεί να έχει ως αποτέλεσμα σημαντική βελτίωση της αποτελεσματικότητας και να είναι επωφελής για τον ανταγωνισμό.</w:t>
      </w:r>
      <w:r w:rsidR="00A72769" w:rsidRPr="00282692">
        <w:rPr>
          <w:rFonts w:ascii="Times New Roman" w:hAnsi="Times New Roman" w:cs="Times New Roman"/>
          <w:sz w:val="24"/>
          <w:szCs w:val="24"/>
        </w:rPr>
        <w:t xml:space="preserve"> Η κάθετη ολοκλήρωση μπορεί να παράσχει αυξημένο κίνητρο για την επιδίωξη μείωσης των τιμών και αύξησης της παραγωγής, επειδή η κάθετα ολοκληρωμένη επιχείρηση μπορεί να αποσπάσει μεγαλύτερο μερίδιο από τα οφέλη. Η ολοκλήρωση ενδέχεται, επίσης, να μειώσει το κόστος συναλλαγής και να καταστήσει εφικτό τον καλύτερο συντονισμό όσον αφορά τον σχεδιασμό προϊόντος, την οργάνωση της παραγωγικής διαδικασίας και τον τρόπο πώλησης των προϊόντων. Εξάλλου, οι συγκεντρώσεις που αφορούν προϊόντα που ανήκουν σε ένα φάσμα ή χαρτοφυλάκιο προϊόντων και πωλούνται γενικά σε κοινούς πελάτες (ανεξάρτητα αν πρόκειται για συμπληρωματικά προϊόντα) μπορεί να έχουν ως αποτέλεσμα οφέλη για τους πελάτες, όπως η «αγορά από ένα σημείο» (</w:t>
      </w:r>
      <w:r w:rsidR="00A72769" w:rsidRPr="00282692">
        <w:rPr>
          <w:rFonts w:ascii="Times New Roman" w:hAnsi="Times New Roman" w:cs="Times New Roman"/>
          <w:sz w:val="24"/>
          <w:szCs w:val="24"/>
          <w:lang w:val="en-US"/>
        </w:rPr>
        <w:t>one</w:t>
      </w:r>
      <w:r w:rsidR="00A72769" w:rsidRPr="00282692">
        <w:rPr>
          <w:rFonts w:ascii="Times New Roman" w:hAnsi="Times New Roman" w:cs="Times New Roman"/>
          <w:sz w:val="24"/>
          <w:szCs w:val="24"/>
        </w:rPr>
        <w:t>-</w:t>
      </w:r>
      <w:r w:rsidR="00A72769" w:rsidRPr="00282692">
        <w:rPr>
          <w:rFonts w:ascii="Times New Roman" w:hAnsi="Times New Roman" w:cs="Times New Roman"/>
          <w:sz w:val="24"/>
          <w:szCs w:val="24"/>
          <w:lang w:val="en-US"/>
        </w:rPr>
        <w:t>stopshopping</w:t>
      </w:r>
      <w:r w:rsidR="00A72769" w:rsidRPr="00282692">
        <w:rPr>
          <w:rFonts w:ascii="Times New Roman" w:hAnsi="Times New Roman" w:cs="Times New Roman"/>
          <w:sz w:val="24"/>
          <w:szCs w:val="24"/>
        </w:rPr>
        <w:t>)</w:t>
      </w:r>
      <w:r w:rsidR="00A72769" w:rsidRPr="00282692">
        <w:rPr>
          <w:rStyle w:val="FootnoteReference"/>
          <w:rFonts w:ascii="Times New Roman" w:hAnsi="Times New Roman" w:cs="Times New Roman"/>
          <w:sz w:val="24"/>
          <w:szCs w:val="24"/>
        </w:rPr>
        <w:footnoteReference w:id="234"/>
      </w:r>
      <w:r w:rsidR="00A72769" w:rsidRPr="00282692">
        <w:rPr>
          <w:rFonts w:ascii="Times New Roman" w:hAnsi="Times New Roman" w:cs="Times New Roman"/>
          <w:sz w:val="24"/>
          <w:szCs w:val="24"/>
        </w:rPr>
        <w:t>.</w:t>
      </w:r>
    </w:p>
    <w:p w:rsidR="00B55485" w:rsidRPr="00282692" w:rsidRDefault="00A72769"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Ωστόσο, υπάρχουν περιπτώσεις στις οποίες οι μη οριζόντιες συγκεντρώσεις ενδέχεται να παρεμποδίσουν σημαντικά τον αποτελεσματικό ανταγωνισμό, </w:t>
      </w:r>
      <w:r w:rsidRPr="00411AB5">
        <w:rPr>
          <w:rFonts w:ascii="Times New Roman" w:hAnsi="Times New Roman" w:cs="Times New Roman"/>
          <w:b/>
          <w:sz w:val="24"/>
          <w:szCs w:val="24"/>
          <w:u w:val="single"/>
        </w:rPr>
        <w:t>ιδίως ως αποτέλεσμα της δημιουργίας ή της ενίσχυσης δεσπόζουσας θέσης.</w:t>
      </w:r>
      <w:r w:rsidRPr="00282692">
        <w:rPr>
          <w:rFonts w:ascii="Times New Roman" w:hAnsi="Times New Roman" w:cs="Times New Roman"/>
          <w:sz w:val="24"/>
          <w:szCs w:val="24"/>
        </w:rPr>
        <w:t xml:space="preserve"> Οι μη οριζόντιες συγκεντρώσεις δεν συνιστούν απειλή για τον αποτελεσματικό ανταγωνισμό, εκτός εάν η επιχείρηση που προκύπτει από τη συγκέντρωση διαθέτει σημαντική ισχύ στην αγορά (η οποία δεν ισοδυναμεί κατ’ ανάγκη με δεσπόζουσα θέση) σε μια τουλάχιστον από τις σχετικές αγορές. Εάν το μερίδιο αγοράς της νέας επιχείρησης μετά τη συγκέντρωση σε κάθε μια από τις επηρεαζόμενες σχετικές </w:t>
      </w:r>
      <w:r w:rsidRPr="00282692">
        <w:rPr>
          <w:rFonts w:ascii="Times New Roman" w:hAnsi="Times New Roman" w:cs="Times New Roman"/>
          <w:sz w:val="24"/>
          <w:szCs w:val="24"/>
        </w:rPr>
        <w:lastRenderedPageBreak/>
        <w:t>αγορές δεν ξεπερνά το 30%</w:t>
      </w:r>
      <w:r w:rsidR="00B55485" w:rsidRPr="00282692">
        <w:rPr>
          <w:rFonts w:ascii="Times New Roman" w:hAnsi="Times New Roman" w:cs="Times New Roman"/>
          <w:sz w:val="24"/>
          <w:szCs w:val="24"/>
        </w:rPr>
        <w:t>, δεν τίθεται συνήθως ζήτημα απαγόρευσης της συγκέντρωσης</w:t>
      </w:r>
      <w:r w:rsidR="00282692" w:rsidRPr="00282692">
        <w:rPr>
          <w:rStyle w:val="FootnoteReference"/>
          <w:rFonts w:ascii="Times New Roman" w:hAnsi="Times New Roman" w:cs="Times New Roman"/>
          <w:sz w:val="24"/>
          <w:szCs w:val="24"/>
        </w:rPr>
        <w:footnoteReference w:id="235"/>
      </w:r>
      <w:r w:rsidR="00B55485" w:rsidRPr="00282692">
        <w:rPr>
          <w:rFonts w:ascii="Times New Roman" w:hAnsi="Times New Roman" w:cs="Times New Roman"/>
          <w:sz w:val="24"/>
          <w:szCs w:val="24"/>
        </w:rPr>
        <w:t>.</w:t>
      </w:r>
    </w:p>
    <w:p w:rsidR="00416F27" w:rsidRPr="00282692" w:rsidRDefault="00B55485"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Δύο είναι οι βασικοί τρόποι με τους οποίους οι μη οριζόντιες συγκεντρώσεις ενδέχεται να παρεμποδίζουν σημαντικά τον αποτελεσματικό ανταγωνισμό. Μπορεί να προκαλούν είτε μη συντονισμένα είτε συντονισμένα αποτελέσματα. </w:t>
      </w:r>
    </w:p>
    <w:p w:rsidR="00416F27" w:rsidRPr="00282692" w:rsidRDefault="00B55485"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Μη συντονισμένα αποτελέσματα ενδέχεται, κυρίως, να προκύψουν, όταν οι μη οριζόντιες συγκεντρώσεις </w:t>
      </w:r>
      <w:r w:rsidRPr="003850D9">
        <w:rPr>
          <w:rFonts w:ascii="Times New Roman" w:hAnsi="Times New Roman" w:cs="Times New Roman"/>
          <w:b/>
          <w:sz w:val="24"/>
          <w:szCs w:val="24"/>
          <w:u w:val="single"/>
        </w:rPr>
        <w:t>έχουν ως αποτέλεσμα τον αποκλεισμό από την αγορά</w:t>
      </w:r>
      <w:r w:rsidRPr="00282692">
        <w:rPr>
          <w:rFonts w:ascii="Times New Roman" w:hAnsi="Times New Roman" w:cs="Times New Roman"/>
          <w:sz w:val="24"/>
          <w:szCs w:val="24"/>
        </w:rPr>
        <w:t>. Ένας τέτοιος αποκλεισμός από την αγορά ενδέχεται να επιτρέψει στις εταιρείες που μετέχουν στη συγκέντρωση και, ενδεχομένως, σε ορισμένους ανταγωνιστές τους να αυξήσουν επικερδώς τις τιμές που χρεώνουν στους καταναλωτές. Σε τέτοιες περιπτώσεις αποκλεισμού, παρεμποδίζεται σημαντικά ο αποτελεσματικός ανταγωνισμός και για αυτό τέτοιες περιπτώσεις αναφέρονται ως «επιζήμιος για τον ανταγωνισμό αποκλεισμός από την αγορά.»</w:t>
      </w:r>
      <w:r w:rsidRPr="00282692">
        <w:rPr>
          <w:rStyle w:val="FootnoteReference"/>
          <w:rFonts w:ascii="Times New Roman" w:hAnsi="Times New Roman" w:cs="Times New Roman"/>
          <w:sz w:val="24"/>
          <w:szCs w:val="24"/>
        </w:rPr>
        <w:footnoteReference w:id="236"/>
      </w:r>
      <w:r w:rsidR="00416F27" w:rsidRPr="00282692">
        <w:rPr>
          <w:rFonts w:ascii="Times New Roman" w:hAnsi="Times New Roman" w:cs="Times New Roman"/>
          <w:sz w:val="24"/>
          <w:szCs w:val="24"/>
        </w:rPr>
        <w:t>Ειδικά στην περίπτωση των κάθετων συγκεντρώσεων, τα μη συντονισμένα αποτελέσματα αποκλεισμού διακρίνονται σε δύο μορφές, στον αποκλεισμό των ανταγωνιστών από την πρόσβαση σε εισροές και στον αποκλεισμό ανταγωνιστών από την πρόσβαση σε πελάτες. Το κύριο πρόβλημα στο πλαίσιο των συγκεντρώσεων εταιρ</w:t>
      </w:r>
      <w:r w:rsidR="003850D9">
        <w:rPr>
          <w:rFonts w:ascii="Times New Roman" w:hAnsi="Times New Roman" w:cs="Times New Roman"/>
          <w:sz w:val="24"/>
          <w:szCs w:val="24"/>
        </w:rPr>
        <w:t xml:space="preserve">ειών ετερογενών δραστηριοτήτων </w:t>
      </w:r>
      <w:r w:rsidR="00416F27" w:rsidRPr="00282692">
        <w:rPr>
          <w:rFonts w:ascii="Times New Roman" w:hAnsi="Times New Roman" w:cs="Times New Roman"/>
          <w:sz w:val="24"/>
          <w:szCs w:val="24"/>
        </w:rPr>
        <w:t>αφορά, επίσης, τον αποκλεισμό από την αγορά. Ο συνδυασμός προϊόντων σε συναφείς αγορές ενδέχεται να παράσχει στη συγχωνευθείσα επιχείρηση την ικανότητα και το κίνητρο να χρησιμοποιήσει την ισχυρή θέση που κατέχει σε μια άλλη αγορά μέσω ρητρών συνδεδεμένης ή ομαδικής πώλησης ή άλλων πρακτικών αποκλεισμού.</w:t>
      </w:r>
    </w:p>
    <w:p w:rsidR="004D164F" w:rsidRPr="00282692" w:rsidRDefault="00416F27" w:rsidP="00282692">
      <w:pPr>
        <w:spacing w:after="0" w:line="240" w:lineRule="auto"/>
        <w:ind w:firstLine="720"/>
        <w:jc w:val="both"/>
        <w:rPr>
          <w:rFonts w:ascii="Times New Roman" w:hAnsi="Times New Roman" w:cs="Times New Roman"/>
          <w:sz w:val="24"/>
          <w:szCs w:val="24"/>
        </w:rPr>
      </w:pPr>
      <w:r w:rsidRPr="00282692">
        <w:rPr>
          <w:rFonts w:ascii="Times New Roman" w:hAnsi="Times New Roman" w:cs="Times New Roman"/>
          <w:sz w:val="24"/>
          <w:szCs w:val="24"/>
        </w:rPr>
        <w:t xml:space="preserve">Συντονισμένα αποτελέσματα προκύπτουν όταν η συγκέντρωση μεταβάλλει τη φύση του ανταγωνισμού, κατά τρόπο ώστε </w:t>
      </w:r>
      <w:r w:rsidRPr="003850D9">
        <w:rPr>
          <w:rFonts w:ascii="Times New Roman" w:hAnsi="Times New Roman" w:cs="Times New Roman"/>
          <w:b/>
          <w:sz w:val="24"/>
          <w:szCs w:val="24"/>
          <w:u w:val="single"/>
        </w:rPr>
        <w:t>να αυξάνεται σημαντικά η πιθανότητα να συντονίζουν στο εξής τη συμπεριφορά τους επιχειρήσεις</w:t>
      </w:r>
      <w:r w:rsidRPr="00282692">
        <w:rPr>
          <w:rFonts w:ascii="Times New Roman" w:hAnsi="Times New Roman" w:cs="Times New Roman"/>
          <w:sz w:val="24"/>
          <w:szCs w:val="24"/>
        </w:rPr>
        <w:t xml:space="preserve"> που δεν το έπρατταν προηγουμένως, προκειμένου να αυξήσουν τις τιμές ή να παρεμποδίσουν με οποιονδήποτε άλλο τρόπο τον αποτελεσματικό ανταγωνισμό. Η συγκέντρωση ενδέχεται, επίσης, να καταστήσει τον συντονισμό ευκολότερο, πιο σταθερό ή πιο αποτελεσματικό για επιχειρήσεις οι οποίες συντόνιζαν τη συμπεριφορά τους </w:t>
      </w:r>
      <w:r w:rsidR="00282692" w:rsidRPr="00282692">
        <w:rPr>
          <w:rFonts w:ascii="Times New Roman" w:hAnsi="Times New Roman" w:cs="Times New Roman"/>
          <w:sz w:val="24"/>
          <w:szCs w:val="24"/>
        </w:rPr>
        <w:t>πριν</w:t>
      </w:r>
      <w:r w:rsidRPr="00282692">
        <w:rPr>
          <w:rFonts w:ascii="Times New Roman" w:hAnsi="Times New Roman" w:cs="Times New Roman"/>
          <w:sz w:val="24"/>
          <w:szCs w:val="24"/>
        </w:rPr>
        <w:t xml:space="preserve"> τη συγκέντρωση</w:t>
      </w:r>
      <w:r w:rsidR="00282692" w:rsidRPr="00282692">
        <w:rPr>
          <w:rStyle w:val="FootnoteReference"/>
          <w:rFonts w:ascii="Times New Roman" w:hAnsi="Times New Roman" w:cs="Times New Roman"/>
          <w:sz w:val="24"/>
          <w:szCs w:val="24"/>
        </w:rPr>
        <w:footnoteReference w:id="237"/>
      </w:r>
      <w:r w:rsidRPr="00282692">
        <w:rPr>
          <w:rFonts w:ascii="Times New Roman" w:hAnsi="Times New Roman" w:cs="Times New Roman"/>
          <w:sz w:val="24"/>
          <w:szCs w:val="24"/>
        </w:rPr>
        <w:t xml:space="preserve">. Συντονισμός είναι πιθανότερο να ανακύψει σε αγορές στις οποίες είναι σχετικά πιο απλό για τα μέρη να καταλήξουν σε συνεννόηση όσον αφορά τους όρους του συντονισμού. </w:t>
      </w:r>
      <w:r w:rsidR="002972D2" w:rsidRPr="00282692">
        <w:rPr>
          <w:rFonts w:ascii="Times New Roman" w:hAnsi="Times New Roman" w:cs="Times New Roman"/>
          <w:sz w:val="24"/>
          <w:szCs w:val="24"/>
        </w:rPr>
        <w:t>Επιπλέον, για να είναι βιώσιμος ο συντονισμός, πρέπει να πληρούνται τρεις βασικές προϋποθέσεις: πρώτον, οι επιχειρήσεις πρέπει να είναι σε θέση να ελέγχουν σε επαρκή βαθμό την τήρηση των όρων του συντονισμού· δεύτερον, πρέπει να υπάρχουν αξιόπιστοι αποτρεπτικοί μηχανισμοί που μπορούν να ενεργοποιηθούν σε περίπτωση παρέκκλισης από τη συντονισμένη δράση και, τρίτον, οι αντιδράσεις τρίτων, όπως υφιστάμενων και μελλοντικών ανταγωνιστών που δεν συμμετέχουν στο συντονισμό, καθώς και πελατών, δεν θα πρέπει να είναι ικανές να θέσουν σε κίνδυνο τα προσδοκώμενα αποτελέσματα του συντονισμού</w:t>
      </w:r>
      <w:r w:rsidR="002972D2" w:rsidRPr="00282692">
        <w:rPr>
          <w:rStyle w:val="FootnoteReference"/>
          <w:rFonts w:ascii="Times New Roman" w:hAnsi="Times New Roman" w:cs="Times New Roman"/>
          <w:sz w:val="24"/>
          <w:szCs w:val="24"/>
        </w:rPr>
        <w:footnoteReference w:id="238"/>
      </w:r>
      <w:r w:rsidR="002972D2" w:rsidRPr="00282692">
        <w:rPr>
          <w:rFonts w:ascii="Times New Roman" w:hAnsi="Times New Roman" w:cs="Times New Roman"/>
          <w:sz w:val="24"/>
          <w:szCs w:val="24"/>
        </w:rPr>
        <w:t xml:space="preserve">.        </w:t>
      </w:r>
    </w:p>
    <w:p w:rsidR="00DD7A4F" w:rsidRPr="00282692" w:rsidRDefault="00DD7A4F" w:rsidP="00282692">
      <w:pPr>
        <w:spacing w:after="0" w:line="240" w:lineRule="auto"/>
        <w:jc w:val="both"/>
        <w:rPr>
          <w:rFonts w:ascii="Times New Roman" w:hAnsi="Times New Roman" w:cs="Times New Roman"/>
          <w:b/>
          <w:sz w:val="24"/>
          <w:szCs w:val="24"/>
        </w:rPr>
      </w:pPr>
      <w:bookmarkStart w:id="0" w:name="_GoBack"/>
      <w:bookmarkEnd w:id="0"/>
    </w:p>
    <w:sectPr w:rsidR="00DD7A4F" w:rsidRPr="00282692" w:rsidSect="00EC58C4">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B96" w:rsidRDefault="000C7B96" w:rsidP="00660A67">
      <w:pPr>
        <w:spacing w:after="0" w:line="240" w:lineRule="auto"/>
      </w:pPr>
      <w:r>
        <w:separator/>
      </w:r>
    </w:p>
  </w:endnote>
  <w:endnote w:type="continuationSeparator" w:id="1">
    <w:p w:rsidR="000C7B96" w:rsidRDefault="000C7B96" w:rsidP="00660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855428"/>
      <w:docPartObj>
        <w:docPartGallery w:val="Page Numbers (Bottom of Page)"/>
        <w:docPartUnique/>
      </w:docPartObj>
    </w:sdtPr>
    <w:sdtContent>
      <w:p w:rsidR="00176031" w:rsidRDefault="00EC58C4">
        <w:pPr>
          <w:pStyle w:val="Footer"/>
          <w:jc w:val="center"/>
        </w:pPr>
        <w:r>
          <w:fldChar w:fldCharType="begin"/>
        </w:r>
        <w:r w:rsidR="00176031">
          <w:instrText>PAGE   \* MERGEFORMAT</w:instrText>
        </w:r>
        <w:r>
          <w:fldChar w:fldCharType="separate"/>
        </w:r>
        <w:r w:rsidR="00405B4E">
          <w:rPr>
            <w:noProof/>
          </w:rPr>
          <w:t>2</w:t>
        </w:r>
        <w:r>
          <w:fldChar w:fldCharType="end"/>
        </w:r>
      </w:p>
    </w:sdtContent>
  </w:sdt>
  <w:p w:rsidR="00176031" w:rsidRDefault="001760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B96" w:rsidRDefault="000C7B96" w:rsidP="00660A67">
      <w:pPr>
        <w:spacing w:after="0" w:line="240" w:lineRule="auto"/>
      </w:pPr>
      <w:r>
        <w:separator/>
      </w:r>
    </w:p>
  </w:footnote>
  <w:footnote w:type="continuationSeparator" w:id="1">
    <w:p w:rsidR="000C7B96" w:rsidRDefault="000C7B96" w:rsidP="00660A67">
      <w:pPr>
        <w:spacing w:after="0" w:line="240" w:lineRule="auto"/>
      </w:pPr>
      <w:r>
        <w:continuationSeparator/>
      </w:r>
    </w:p>
  </w:footnote>
  <w:footnote w:id="2">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Βλ</w:t>
      </w:r>
      <w:r w:rsidRPr="001C2BED">
        <w:rPr>
          <w:rFonts w:ascii="Times New Roman" w:hAnsi="Times New Roman" w:cs="Times New Roman"/>
          <w:lang w:val="fr-FR"/>
        </w:rPr>
        <w:t xml:space="preserve">. </w:t>
      </w:r>
      <w:r w:rsidRPr="001C2BED">
        <w:rPr>
          <w:rFonts w:ascii="Times New Roman" w:hAnsi="Times New Roman" w:cs="Times New Roman"/>
        </w:rPr>
        <w:t>ΔΕΚ</w:t>
      </w:r>
      <w:r w:rsidRPr="001C2BED">
        <w:rPr>
          <w:rFonts w:ascii="Times New Roman" w:hAnsi="Times New Roman" w:cs="Times New Roman"/>
          <w:lang w:val="fr-FR"/>
        </w:rPr>
        <w:t xml:space="preserve"> C-56/65, </w:t>
      </w:r>
      <w:r w:rsidRPr="001C2BED">
        <w:rPr>
          <w:rFonts w:ascii="Times New Roman" w:hAnsi="Times New Roman" w:cs="Times New Roman"/>
          <w:i/>
          <w:lang w:val="fr-FR"/>
        </w:rPr>
        <w:t xml:space="preserve">Société Technique Minière </w:t>
      </w:r>
      <w:proofErr w:type="spellStart"/>
      <w:r w:rsidRPr="001C2BED">
        <w:rPr>
          <w:rFonts w:ascii="Times New Roman" w:hAnsi="Times New Roman" w:cs="Times New Roman"/>
          <w:i/>
          <w:lang w:val="en-US"/>
        </w:rPr>
        <w:t>κατά</w:t>
      </w:r>
      <w:r w:rsidRPr="001C2BED">
        <w:rPr>
          <w:rFonts w:ascii="Times New Roman" w:hAnsi="Times New Roman" w:cs="Times New Roman"/>
          <w:i/>
          <w:lang w:val="fr-FR"/>
        </w:rPr>
        <w:t>Maschinenbau</w:t>
      </w:r>
      <w:proofErr w:type="spellEnd"/>
      <w:r w:rsidRPr="001C2BED">
        <w:rPr>
          <w:rFonts w:ascii="Times New Roman" w:hAnsi="Times New Roman" w:cs="Times New Roman"/>
          <w:i/>
          <w:lang w:val="fr-FR"/>
        </w:rPr>
        <w:t xml:space="preserve"> Ulm </w:t>
      </w:r>
      <w:proofErr w:type="spellStart"/>
      <w:r w:rsidRPr="001C2BED">
        <w:rPr>
          <w:rFonts w:ascii="Times New Roman" w:hAnsi="Times New Roman" w:cs="Times New Roman"/>
          <w:i/>
          <w:lang w:val="fr-FR"/>
        </w:rPr>
        <w:t>GmbH</w:t>
      </w:r>
      <w:proofErr w:type="spellEnd"/>
      <w:r w:rsidRPr="001C2BED">
        <w:rPr>
          <w:rFonts w:ascii="Times New Roman" w:hAnsi="Times New Roman" w:cs="Times New Roman"/>
          <w:i/>
          <w:lang w:val="fr-FR"/>
        </w:rPr>
        <w:t xml:space="preserve"> (M.B.U.)</w:t>
      </w:r>
      <w:r w:rsidRPr="001C2BED">
        <w:rPr>
          <w:rFonts w:ascii="Times New Roman" w:hAnsi="Times New Roman" w:cs="Times New Roman"/>
          <w:lang w:val="fr-FR"/>
        </w:rPr>
        <w:t xml:space="preserve">, </w:t>
      </w:r>
      <w:r w:rsidRPr="001C2BED">
        <w:rPr>
          <w:rFonts w:ascii="Times New Roman" w:hAnsi="Times New Roman" w:cs="Times New Roman"/>
        </w:rPr>
        <w:t xml:space="preserve">Συλλογή 1965-1968, σελ. 313 επ.· ΔΕΚ </w:t>
      </w:r>
      <w:r w:rsidRPr="001C2BED">
        <w:rPr>
          <w:rFonts w:ascii="Times New Roman" w:hAnsi="Times New Roman" w:cs="Times New Roman"/>
          <w:lang w:val="en-US"/>
        </w:rPr>
        <w:t>C</w:t>
      </w:r>
      <w:r w:rsidRPr="001C2BED">
        <w:rPr>
          <w:rFonts w:ascii="Times New Roman" w:hAnsi="Times New Roman" w:cs="Times New Roman"/>
        </w:rPr>
        <w:t xml:space="preserve">-219/95, </w:t>
      </w:r>
      <w:proofErr w:type="spellStart"/>
      <w:r w:rsidRPr="001C2BED">
        <w:rPr>
          <w:rFonts w:ascii="Times New Roman" w:hAnsi="Times New Roman" w:cs="Times New Roman"/>
          <w:i/>
          <w:lang w:val="en-US"/>
        </w:rPr>
        <w:t>FerriereNord</w:t>
      </w:r>
      <w:proofErr w:type="spellEnd"/>
      <w:r w:rsidRPr="001C2BED">
        <w:rPr>
          <w:rFonts w:ascii="Times New Roman" w:hAnsi="Times New Roman" w:cs="Times New Roman"/>
          <w:i/>
        </w:rPr>
        <w:t xml:space="preserve"> κατά Επιτροπής</w:t>
      </w:r>
      <w:r w:rsidRPr="001C2BED">
        <w:rPr>
          <w:rFonts w:ascii="Times New Roman" w:hAnsi="Times New Roman" w:cs="Times New Roman"/>
        </w:rPr>
        <w:t>, Συλλογή 1997, σελ. Ι-4414 επ.</w:t>
      </w:r>
    </w:p>
  </w:footnote>
  <w:footnote w:id="3">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Βλ. </w:t>
      </w:r>
      <w:r w:rsidRPr="001C2BED">
        <w:rPr>
          <w:rFonts w:ascii="Times New Roman" w:hAnsi="Times New Roman" w:cs="Times New Roman"/>
        </w:rPr>
        <w:t xml:space="preserve">ΔΕΚ </w:t>
      </w:r>
      <w:r w:rsidRPr="001C2BED">
        <w:rPr>
          <w:rFonts w:ascii="Times New Roman" w:hAnsi="Times New Roman" w:cs="Times New Roman"/>
          <w:lang w:val="fr-FR"/>
        </w:rPr>
        <w:t>C</w:t>
      </w:r>
      <w:r w:rsidRPr="001C2BED">
        <w:rPr>
          <w:rFonts w:ascii="Times New Roman" w:hAnsi="Times New Roman" w:cs="Times New Roman"/>
        </w:rPr>
        <w:t xml:space="preserve">-161/84, </w:t>
      </w:r>
      <w:proofErr w:type="spellStart"/>
      <w:r w:rsidRPr="001C2BED">
        <w:rPr>
          <w:rFonts w:ascii="Times New Roman" w:hAnsi="Times New Roman" w:cs="Times New Roman"/>
          <w:i/>
          <w:lang w:val="fr-FR"/>
        </w:rPr>
        <w:t>PronuptiadeParis</w:t>
      </w:r>
      <w:proofErr w:type="spellEnd"/>
      <w:r w:rsidRPr="001C2BED">
        <w:rPr>
          <w:rFonts w:ascii="Times New Roman" w:hAnsi="Times New Roman" w:cs="Times New Roman"/>
        </w:rPr>
        <w:t xml:space="preserve">, Συλλογή 1986, σελ. 353, σκέψεις 15-21· ΔΕΚ </w:t>
      </w:r>
      <w:r w:rsidRPr="001C2BED">
        <w:rPr>
          <w:rFonts w:ascii="Times New Roman" w:hAnsi="Times New Roman" w:cs="Times New Roman"/>
          <w:lang w:val="en-US"/>
        </w:rPr>
        <w:t>C</w:t>
      </w:r>
      <w:r w:rsidRPr="001C2BED">
        <w:rPr>
          <w:rFonts w:ascii="Times New Roman" w:hAnsi="Times New Roman" w:cs="Times New Roman"/>
        </w:rPr>
        <w:t xml:space="preserve">-234/89, </w:t>
      </w:r>
      <w:r w:rsidRPr="001C2BED">
        <w:rPr>
          <w:rFonts w:ascii="Times New Roman" w:hAnsi="Times New Roman" w:cs="Times New Roman"/>
          <w:i/>
        </w:rPr>
        <w:t xml:space="preserve">Δηλιμίτης κατά </w:t>
      </w:r>
      <w:proofErr w:type="spellStart"/>
      <w:r w:rsidRPr="001C2BED">
        <w:rPr>
          <w:rFonts w:ascii="Times New Roman" w:hAnsi="Times New Roman" w:cs="Times New Roman"/>
          <w:i/>
          <w:lang w:val="en-US"/>
        </w:rPr>
        <w:t>HenningerBr</w:t>
      </w:r>
      <w:proofErr w:type="spellEnd"/>
      <w:r w:rsidRPr="001C2BED">
        <w:rPr>
          <w:rFonts w:ascii="Times New Roman" w:hAnsi="Times New Roman" w:cs="Times New Roman"/>
          <w:i/>
        </w:rPr>
        <w:t>ä</w:t>
      </w:r>
      <w:r w:rsidRPr="001C2BED">
        <w:rPr>
          <w:rFonts w:ascii="Times New Roman" w:hAnsi="Times New Roman" w:cs="Times New Roman"/>
          <w:i/>
          <w:lang w:val="en-US"/>
        </w:rPr>
        <w:t>u</w:t>
      </w:r>
      <w:r w:rsidRPr="001C2BED">
        <w:rPr>
          <w:rFonts w:ascii="Times New Roman" w:hAnsi="Times New Roman" w:cs="Times New Roman"/>
        </w:rPr>
        <w:t xml:space="preserve">, Συλλογή 1991, σελ. Ι-935, σκέψη 13. </w:t>
      </w:r>
    </w:p>
  </w:footnote>
  <w:footnote w:id="4">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 xml:space="preserve">-42/84, </w:t>
      </w:r>
      <w:r w:rsidRPr="001C2BED">
        <w:rPr>
          <w:rFonts w:ascii="Times New Roman" w:hAnsi="Times New Roman" w:cs="Times New Roman"/>
          <w:i/>
          <w:lang w:val="de-DE"/>
        </w:rPr>
        <w:t>Remia</w:t>
      </w:r>
      <w:r w:rsidRPr="001C2BED">
        <w:rPr>
          <w:rFonts w:ascii="Times New Roman" w:hAnsi="Times New Roman" w:cs="Times New Roman"/>
        </w:rPr>
        <w:t>, Συλλογή 1985, σελ. 2545.</w:t>
      </w:r>
    </w:p>
  </w:footnote>
  <w:footnote w:id="5">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19.</w:t>
      </w:r>
    </w:p>
  </w:footnote>
  <w:footnote w:id="6">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Βλ. ΔΕΚ </w:t>
      </w:r>
      <w:r w:rsidRPr="001C2BED">
        <w:rPr>
          <w:rFonts w:ascii="Times New Roman" w:hAnsi="Times New Roman" w:cs="Times New Roman"/>
          <w:lang w:val="fr-FR"/>
        </w:rPr>
        <w:t>C</w:t>
      </w:r>
      <w:r w:rsidRPr="001C2BED">
        <w:rPr>
          <w:rFonts w:ascii="Times New Roman" w:hAnsi="Times New Roman" w:cs="Times New Roman"/>
        </w:rPr>
        <w:t xml:space="preserve">-439/09, </w:t>
      </w:r>
      <w:r w:rsidRPr="001C2BED">
        <w:rPr>
          <w:rFonts w:ascii="Times New Roman" w:hAnsi="Times New Roman" w:cs="Times New Roman"/>
          <w:i/>
          <w:lang w:val="fr-FR"/>
        </w:rPr>
        <w:t>PierreFabre</w:t>
      </w:r>
      <w:r w:rsidRPr="001C2BED">
        <w:rPr>
          <w:rFonts w:ascii="Times New Roman" w:hAnsi="Times New Roman" w:cs="Times New Roman"/>
          <w:i/>
        </w:rPr>
        <w:t xml:space="preserve">, </w:t>
      </w:r>
      <w:r w:rsidRPr="001C2BED">
        <w:rPr>
          <w:rFonts w:ascii="Times New Roman" w:hAnsi="Times New Roman" w:cs="Times New Roman"/>
        </w:rPr>
        <w:t>Συλλογή 2011, σελ. Ι-9419.</w:t>
      </w:r>
    </w:p>
  </w:footnote>
  <w:footnote w:id="7">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39. </w:t>
      </w:r>
    </w:p>
  </w:footnote>
  <w:footnote w:id="8">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40.</w:t>
      </w:r>
    </w:p>
  </w:footnote>
  <w:footnote w:id="9">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 xml:space="preserve">-262/81, </w:t>
      </w:r>
      <w:proofErr w:type="spellStart"/>
      <w:r w:rsidRPr="001C2BED">
        <w:rPr>
          <w:rFonts w:ascii="Times New Roman" w:hAnsi="Times New Roman" w:cs="Times New Roman"/>
          <w:i/>
          <w:lang w:val="en-US"/>
        </w:rPr>
        <w:t>CoditelII</w:t>
      </w:r>
      <w:proofErr w:type="spellEnd"/>
      <w:r w:rsidRPr="001C2BED">
        <w:rPr>
          <w:rFonts w:ascii="Times New Roman" w:hAnsi="Times New Roman" w:cs="Times New Roman"/>
        </w:rPr>
        <w:t>, Συλλογή 1982, σελ. 3381.</w:t>
      </w:r>
    </w:p>
  </w:footnote>
  <w:footnote w:id="10">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11. </w:t>
      </w:r>
    </w:p>
  </w:footnote>
  <w:footnote w:id="11">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 xml:space="preserve">-238/05, </w:t>
      </w:r>
      <w:r w:rsidRPr="001C2BED">
        <w:rPr>
          <w:rFonts w:ascii="Times New Roman" w:hAnsi="Times New Roman" w:cs="Times New Roman"/>
          <w:i/>
        </w:rPr>
        <w:t>Asnef-Equifax</w:t>
      </w:r>
      <w:r w:rsidRPr="001C2BED">
        <w:rPr>
          <w:rFonts w:ascii="Times New Roman" w:hAnsi="Times New Roman" w:cs="Times New Roman"/>
        </w:rPr>
        <w:t>, Συλλογή 2006, σελ. Ι-11125.</w:t>
      </w:r>
    </w:p>
  </w:footnote>
  <w:footnote w:id="12">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55.</w:t>
      </w:r>
    </w:p>
  </w:footnote>
  <w:footnote w:id="13">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56.</w:t>
      </w:r>
    </w:p>
  </w:footnote>
  <w:footnote w:id="14">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-7/95</w:t>
      </w:r>
      <w:r w:rsidRPr="001C2BED">
        <w:rPr>
          <w:rFonts w:ascii="Times New Roman" w:hAnsi="Times New Roman" w:cs="Times New Roman"/>
          <w:lang w:val="en-US"/>
        </w:rPr>
        <w:t>P</w:t>
      </w:r>
      <w:r w:rsidRPr="001C2BED">
        <w:rPr>
          <w:rFonts w:ascii="Times New Roman" w:hAnsi="Times New Roman" w:cs="Times New Roman"/>
        </w:rPr>
        <w:t xml:space="preserve">, </w:t>
      </w:r>
      <w:r w:rsidRPr="001C2BED">
        <w:rPr>
          <w:rFonts w:ascii="Times New Roman" w:hAnsi="Times New Roman" w:cs="Times New Roman"/>
          <w:i/>
          <w:lang w:val="en-US"/>
        </w:rPr>
        <w:t>JohnDeere</w:t>
      </w:r>
      <w:r w:rsidRPr="001C2BED">
        <w:rPr>
          <w:rFonts w:ascii="Times New Roman" w:hAnsi="Times New Roman" w:cs="Times New Roman"/>
        </w:rPr>
        <w:t>, Συλλογή 1998, σελ. Ι-3111.</w:t>
      </w:r>
    </w:p>
  </w:footnote>
  <w:footnote w:id="15">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i/>
          <w:lang w:val="de-DE"/>
        </w:rPr>
        <w:t>Ibid</w:t>
      </w:r>
      <w:r w:rsidRPr="001C2BED">
        <w:rPr>
          <w:rFonts w:ascii="Times New Roman" w:hAnsi="Times New Roman" w:cs="Times New Roman"/>
        </w:rPr>
        <w:t>, παρ. 90.</w:t>
      </w:r>
    </w:p>
  </w:footnote>
  <w:footnote w:id="16">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i/>
          <w:lang w:val="de-DE"/>
        </w:rPr>
        <w:t>Ibid</w:t>
      </w:r>
      <w:r w:rsidRPr="001C2BED">
        <w:rPr>
          <w:rFonts w:ascii="Times New Roman" w:hAnsi="Times New Roman" w:cs="Times New Roman"/>
        </w:rPr>
        <w:t>, παρ. 88-89.</w:t>
      </w:r>
    </w:p>
  </w:footnote>
  <w:footnote w:id="17">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de-DE"/>
        </w:rPr>
        <w:t>C</w:t>
      </w:r>
      <w:r w:rsidRPr="001C2BED">
        <w:rPr>
          <w:rFonts w:ascii="Times New Roman" w:hAnsi="Times New Roman" w:cs="Times New Roman"/>
        </w:rPr>
        <w:t xml:space="preserve">-258/78, </w:t>
      </w:r>
      <w:r w:rsidRPr="001C2BED">
        <w:rPr>
          <w:rFonts w:ascii="Times New Roman" w:hAnsi="Times New Roman" w:cs="Times New Roman"/>
          <w:i/>
          <w:lang w:val="de-DE"/>
        </w:rPr>
        <w:t>Nungesser</w:t>
      </w:r>
      <w:r w:rsidRPr="001C2BED">
        <w:rPr>
          <w:rFonts w:ascii="Times New Roman" w:hAnsi="Times New Roman" w:cs="Times New Roman"/>
        </w:rPr>
        <w:t xml:space="preserve">, Συλλογή 1982, σελ. 2015. </w:t>
      </w:r>
    </w:p>
  </w:footnote>
  <w:footnote w:id="18">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57.</w:t>
      </w:r>
    </w:p>
  </w:footnote>
  <w:footnote w:id="19">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61.</w:t>
      </w:r>
    </w:p>
  </w:footnote>
  <w:footnote w:id="20">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-27/87</w:t>
      </w:r>
      <w:r w:rsidRPr="001C2BED">
        <w:rPr>
          <w:rFonts w:ascii="Times New Roman" w:hAnsi="Times New Roman" w:cs="Times New Roman"/>
          <w:i/>
        </w:rPr>
        <w:t xml:space="preserve">, Erauw-Jacquery, </w:t>
      </w:r>
      <w:r w:rsidRPr="001C2BED">
        <w:rPr>
          <w:rFonts w:ascii="Times New Roman" w:hAnsi="Times New Roman" w:cs="Times New Roman"/>
        </w:rPr>
        <w:t>Συλλογή 1988, σελ. 1919, παρ. 10.</w:t>
      </w:r>
    </w:p>
  </w:footnote>
  <w:footnote w:id="21">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 xml:space="preserve">-26/76, </w:t>
      </w:r>
      <w:r w:rsidRPr="001C2BED">
        <w:rPr>
          <w:rFonts w:ascii="Times New Roman" w:hAnsi="Times New Roman" w:cs="Times New Roman"/>
          <w:i/>
          <w:lang w:val="en-US"/>
        </w:rPr>
        <w:t>MetroI</w:t>
      </w:r>
      <w:r w:rsidRPr="001C2BED">
        <w:rPr>
          <w:rFonts w:ascii="Times New Roman" w:hAnsi="Times New Roman" w:cs="Times New Roman"/>
        </w:rPr>
        <w:t>, Συλλογή 1977, σελ. 1875.</w:t>
      </w:r>
    </w:p>
  </w:footnote>
  <w:footnote w:id="22">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22.</w:t>
      </w:r>
    </w:p>
  </w:footnote>
  <w:footnote w:id="23">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 xml:space="preserve">-234/89, </w:t>
      </w:r>
      <w:proofErr w:type="spellStart"/>
      <w:r w:rsidRPr="001C2BED">
        <w:rPr>
          <w:rFonts w:ascii="Times New Roman" w:hAnsi="Times New Roman" w:cs="Times New Roman"/>
          <w:i/>
          <w:lang w:val="en-US"/>
        </w:rPr>
        <w:t>Delimitis</w:t>
      </w:r>
      <w:proofErr w:type="spellEnd"/>
      <w:r w:rsidRPr="001C2BED">
        <w:rPr>
          <w:rFonts w:ascii="Times New Roman" w:hAnsi="Times New Roman" w:cs="Times New Roman"/>
        </w:rPr>
        <w:t>, Συλλογή 1991, σελ. Ι-935.</w:t>
      </w:r>
    </w:p>
  </w:footnote>
  <w:footnote w:id="24">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11.</w:t>
      </w:r>
    </w:p>
  </w:footnote>
  <w:footnote w:id="25">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12.</w:t>
      </w:r>
    </w:p>
  </w:footnote>
  <w:footnote w:id="26">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 xml:space="preserve">-250/92, </w:t>
      </w:r>
      <w:r w:rsidRPr="001C2BED">
        <w:rPr>
          <w:rFonts w:ascii="Times New Roman" w:hAnsi="Times New Roman" w:cs="Times New Roman"/>
          <w:i/>
        </w:rPr>
        <w:t>Gøttrup-</w:t>
      </w:r>
      <w:proofErr w:type="spellStart"/>
      <w:r w:rsidRPr="001C2BED">
        <w:rPr>
          <w:rFonts w:ascii="Times New Roman" w:hAnsi="Times New Roman" w:cs="Times New Roman"/>
          <w:i/>
          <w:lang w:val="en-US"/>
        </w:rPr>
        <w:t>Klim</w:t>
      </w:r>
      <w:proofErr w:type="spellEnd"/>
      <w:r w:rsidRPr="001C2BED">
        <w:rPr>
          <w:rFonts w:ascii="Times New Roman" w:hAnsi="Times New Roman" w:cs="Times New Roman"/>
        </w:rPr>
        <w:t>,Συλλογή 1994, σελ. Ι-5641.</w:t>
      </w:r>
    </w:p>
  </w:footnote>
  <w:footnote w:id="27">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31.</w:t>
      </w:r>
    </w:p>
  </w:footnote>
  <w:footnote w:id="28">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32.</w:t>
      </w:r>
    </w:p>
  </w:footnote>
  <w:footnote w:id="29">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 xml:space="preserve">-161/84, </w:t>
      </w:r>
      <w:proofErr w:type="spellStart"/>
      <w:r w:rsidRPr="001C2BED">
        <w:rPr>
          <w:rFonts w:ascii="Times New Roman" w:hAnsi="Times New Roman" w:cs="Times New Roman"/>
          <w:i/>
          <w:lang w:val="en-US"/>
        </w:rPr>
        <w:t>Pronuptia</w:t>
      </w:r>
      <w:proofErr w:type="spellEnd"/>
      <w:r w:rsidRPr="001C2BED">
        <w:rPr>
          <w:rFonts w:ascii="Times New Roman" w:hAnsi="Times New Roman" w:cs="Times New Roman"/>
        </w:rPr>
        <w:t>, Συλλογή 1986, σελ. 353.</w:t>
      </w:r>
    </w:p>
  </w:footnote>
  <w:footnote w:id="30">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 xml:space="preserve">-395/87, </w:t>
      </w:r>
      <w:proofErr w:type="spellStart"/>
      <w:r w:rsidRPr="001C2BED">
        <w:rPr>
          <w:rFonts w:ascii="Times New Roman" w:hAnsi="Times New Roman" w:cs="Times New Roman"/>
          <w:i/>
          <w:lang w:val="en-US"/>
        </w:rPr>
        <w:t>Tournier</w:t>
      </w:r>
      <w:proofErr w:type="spellEnd"/>
      <w:r w:rsidRPr="001C2BED">
        <w:rPr>
          <w:rFonts w:ascii="Times New Roman" w:hAnsi="Times New Roman" w:cs="Times New Roman"/>
        </w:rPr>
        <w:t xml:space="preserve">, Συλλογή 1989, σελ. 2521. </w:t>
      </w:r>
    </w:p>
  </w:footnote>
  <w:footnote w:id="31">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29 &amp; 31.</w:t>
      </w:r>
    </w:p>
  </w:footnote>
  <w:footnote w:id="32">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rPr>
        <w:t xml:space="preserve">C-56/64 και 58/64, </w:t>
      </w:r>
      <w:r w:rsidRPr="001C2BED">
        <w:rPr>
          <w:rFonts w:ascii="Times New Roman" w:hAnsi="Times New Roman" w:cs="Times New Roman"/>
          <w:i/>
        </w:rPr>
        <w:t>ConstenandGrundig</w:t>
      </w:r>
      <w:r w:rsidRPr="001C2BED">
        <w:rPr>
          <w:rFonts w:ascii="Times New Roman" w:hAnsi="Times New Roman" w:cs="Times New Roman"/>
        </w:rPr>
        <w:t xml:space="preserve">, Συλλογή 1966, σελ. 299, 348. </w:t>
      </w:r>
    </w:p>
  </w:footnote>
  <w:footnote w:id="33">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Απόφαση Επιτροπής, της 17ης Ιανουαρίου 1979, ΕΕΕΕ L 70/11 της 21.3.1979.</w:t>
      </w:r>
    </w:p>
  </w:footnote>
  <w:footnote w:id="34">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Απόφαση Επιτροπής, της 23ης Δεκεμβρίου 1992, ΕΕΕΕ L 20/14 της 28.1.1993.</w:t>
      </w:r>
    </w:p>
  </w:footnote>
  <w:footnote w:id="35">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T-168/01, </w:t>
      </w:r>
      <w:r w:rsidRPr="001C2BED">
        <w:rPr>
          <w:rFonts w:ascii="Times New Roman" w:hAnsi="Times New Roman" w:cs="Times New Roman"/>
          <w:i/>
        </w:rPr>
        <w:t>GlaxoSmithKlineServices</w:t>
      </w:r>
      <w:r w:rsidRPr="001C2BED">
        <w:rPr>
          <w:rFonts w:ascii="Times New Roman" w:hAnsi="Times New Roman" w:cs="Times New Roman"/>
        </w:rPr>
        <w:t>, Συλλογή 2006, σελ. ΙΙ-2969, σκέψεις 247-251, 255, 270-276, 304-307.</w:t>
      </w:r>
    </w:p>
  </w:footnote>
  <w:footnote w:id="36">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Απόφαση Επιτροπής, της 24ης Φεβρουαρίου 1999, ΕΕΕΕ L 88/26 της 31.03.1999. </w:t>
      </w:r>
    </w:p>
  </w:footnote>
  <w:footnote w:id="37">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Απόφαση Επιτροπής, της 13ης Ιουλίου 1983, ΕΕΕΕ L 224/19 της 17.08.1993.</w:t>
      </w:r>
    </w:p>
  </w:footnote>
  <w:footnote w:id="38">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Απόφαση Επιτροπής, της 30ης Μαρτίου 1984, ΕΕΕΕ L 99/29 της 11.04.1984.</w:t>
      </w:r>
    </w:p>
  </w:footnote>
  <w:footnote w:id="39">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 xml:space="preserve">-27/76, </w:t>
      </w:r>
      <w:r w:rsidRPr="001C2BED">
        <w:rPr>
          <w:rFonts w:ascii="Times New Roman" w:hAnsi="Times New Roman" w:cs="Times New Roman"/>
          <w:i/>
          <w:lang w:val="en-US"/>
        </w:rPr>
        <w:t>UnitedBrands</w:t>
      </w:r>
      <w:r w:rsidRPr="001C2BED">
        <w:rPr>
          <w:rFonts w:ascii="Times New Roman" w:hAnsi="Times New Roman" w:cs="Times New Roman"/>
        </w:rPr>
        <w:t>, Συλλογή 1978, σελ. 207, παρ. 12-35.</w:t>
      </w:r>
    </w:p>
  </w:footnote>
  <w:footnote w:id="40">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r w:rsidRPr="001C2BED">
        <w:rPr>
          <w:rFonts w:ascii="Times New Roman" w:hAnsi="Times New Roman" w:cs="Times New Roman"/>
        </w:rPr>
        <w:t>Βλ</w:t>
      </w:r>
      <w:r w:rsidRPr="001C2BED">
        <w:rPr>
          <w:rFonts w:ascii="Times New Roman" w:hAnsi="Times New Roman" w:cs="Times New Roman"/>
          <w:lang w:val="en-US"/>
        </w:rPr>
        <w:t xml:space="preserve">. </w:t>
      </w:r>
      <w:proofErr w:type="spellStart"/>
      <w:r w:rsidRPr="001C2BED">
        <w:rPr>
          <w:rFonts w:ascii="Times New Roman" w:hAnsi="Times New Roman" w:cs="Times New Roman"/>
          <w:i/>
          <w:lang w:val="en-US"/>
        </w:rPr>
        <w:t>Kauper</w:t>
      </w:r>
      <w:proofErr w:type="spellEnd"/>
      <w:r w:rsidRPr="001C2BED">
        <w:rPr>
          <w:rFonts w:ascii="Times New Roman" w:hAnsi="Times New Roman" w:cs="Times New Roman"/>
          <w:i/>
          <w:lang w:val="en-US"/>
        </w:rPr>
        <w:t xml:space="preserve"> T.</w:t>
      </w:r>
      <w:r w:rsidRPr="001C2BED">
        <w:rPr>
          <w:rFonts w:ascii="Times New Roman" w:hAnsi="Times New Roman" w:cs="Times New Roman"/>
          <w:lang w:val="en-US"/>
        </w:rPr>
        <w:t xml:space="preserve">, </w:t>
      </w:r>
      <w:proofErr w:type="gramStart"/>
      <w:r w:rsidRPr="001C2BED">
        <w:rPr>
          <w:rFonts w:ascii="Times New Roman" w:hAnsi="Times New Roman" w:cs="Times New Roman"/>
          <w:lang w:val="en-US"/>
        </w:rPr>
        <w:t>The</w:t>
      </w:r>
      <w:proofErr w:type="gramEnd"/>
      <w:r w:rsidRPr="001C2BED">
        <w:rPr>
          <w:rFonts w:ascii="Times New Roman" w:hAnsi="Times New Roman" w:cs="Times New Roman"/>
          <w:lang w:val="en-US"/>
        </w:rPr>
        <w:t xml:space="preserve"> Problem of Market Definition Under EC Competition Law, 20(5) Fordham International Law Journal 1682, 1695 (1996).</w:t>
      </w:r>
    </w:p>
  </w:footnote>
  <w:footnote w:id="41">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w:t>
      </w:r>
      <w:r w:rsidRPr="001C2BED">
        <w:rPr>
          <w:rFonts w:ascii="Times New Roman" w:hAnsi="Times New Roman" w:cs="Times New Roman"/>
          <w:lang w:val="de-DE"/>
        </w:rPr>
        <w:t>T</w:t>
      </w:r>
      <w:r w:rsidRPr="001C2BED">
        <w:rPr>
          <w:rFonts w:ascii="Times New Roman" w:hAnsi="Times New Roman" w:cs="Times New Roman"/>
        </w:rPr>
        <w:t xml:space="preserve">-30/89, </w:t>
      </w:r>
      <w:r w:rsidRPr="001C2BED">
        <w:rPr>
          <w:rFonts w:ascii="Times New Roman" w:hAnsi="Times New Roman" w:cs="Times New Roman"/>
          <w:i/>
          <w:lang w:val="de-DE"/>
        </w:rPr>
        <w:t>Hilti</w:t>
      </w:r>
      <w:r w:rsidRPr="001C2BED">
        <w:rPr>
          <w:rFonts w:ascii="Times New Roman" w:hAnsi="Times New Roman" w:cs="Times New Roman"/>
        </w:rPr>
        <w:t>, Συλλογή 1991, σελ. ΙΙ-1439.</w:t>
      </w:r>
    </w:p>
  </w:footnote>
  <w:footnote w:id="42">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72.</w:t>
      </w:r>
    </w:p>
  </w:footnote>
  <w:footnote w:id="43">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66.</w:t>
      </w:r>
    </w:p>
  </w:footnote>
  <w:footnote w:id="44">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75-76.</w:t>
      </w:r>
    </w:p>
  </w:footnote>
  <w:footnote w:id="45">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Βλ. </w:t>
      </w:r>
      <w:proofErr w:type="spellStart"/>
      <w:proofErr w:type="gramStart"/>
      <w:r w:rsidRPr="001C2BED">
        <w:rPr>
          <w:rFonts w:ascii="Times New Roman" w:hAnsi="Times New Roman" w:cs="Times New Roman"/>
          <w:i/>
          <w:lang w:val="en-US"/>
        </w:rPr>
        <w:t>Kauper</w:t>
      </w:r>
      <w:proofErr w:type="spellEnd"/>
      <w:r w:rsidRPr="001C2BED">
        <w:rPr>
          <w:rFonts w:ascii="Times New Roman" w:hAnsi="Times New Roman" w:cs="Times New Roman"/>
        </w:rPr>
        <w:t>, ό.π., σελ.</w:t>
      </w:r>
      <w:proofErr w:type="gramEnd"/>
      <w:r w:rsidRPr="001C2BED">
        <w:rPr>
          <w:rFonts w:ascii="Times New Roman" w:hAnsi="Times New Roman" w:cs="Times New Roman"/>
        </w:rPr>
        <w:t xml:space="preserve"> 1711-1713.</w:t>
      </w:r>
    </w:p>
  </w:footnote>
  <w:footnote w:id="46">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w:t>
      </w:r>
      <w:r w:rsidRPr="001C2BED">
        <w:rPr>
          <w:rFonts w:ascii="Times New Roman" w:hAnsi="Times New Roman" w:cs="Times New Roman"/>
          <w:lang w:val="fr-FR"/>
        </w:rPr>
        <w:t>T</w:t>
      </w:r>
      <w:r w:rsidRPr="001C2BED">
        <w:rPr>
          <w:rFonts w:ascii="Times New Roman" w:hAnsi="Times New Roman" w:cs="Times New Roman"/>
        </w:rPr>
        <w:t xml:space="preserve">-340/03, </w:t>
      </w:r>
      <w:proofErr w:type="spellStart"/>
      <w:r w:rsidRPr="001C2BED">
        <w:rPr>
          <w:rFonts w:ascii="Times New Roman" w:hAnsi="Times New Roman" w:cs="Times New Roman"/>
          <w:i/>
          <w:lang w:val="fr-FR"/>
        </w:rPr>
        <w:t>FranceT</w:t>
      </w:r>
      <w:proofErr w:type="spellEnd"/>
      <w:r w:rsidRPr="001C2BED">
        <w:rPr>
          <w:rFonts w:ascii="Times New Roman" w:hAnsi="Times New Roman" w:cs="Times New Roman"/>
          <w:i/>
        </w:rPr>
        <w:t>é</w:t>
      </w:r>
      <w:r w:rsidRPr="001C2BED">
        <w:rPr>
          <w:rFonts w:ascii="Times New Roman" w:hAnsi="Times New Roman" w:cs="Times New Roman"/>
          <w:i/>
          <w:lang w:val="fr-FR"/>
        </w:rPr>
        <w:t>l</w:t>
      </w:r>
      <w:r w:rsidRPr="001C2BED">
        <w:rPr>
          <w:rFonts w:ascii="Times New Roman" w:hAnsi="Times New Roman" w:cs="Times New Roman"/>
          <w:i/>
        </w:rPr>
        <w:t>é</w:t>
      </w:r>
      <w:proofErr w:type="spellStart"/>
      <w:r w:rsidRPr="001C2BED">
        <w:rPr>
          <w:rFonts w:ascii="Times New Roman" w:hAnsi="Times New Roman" w:cs="Times New Roman"/>
          <w:i/>
          <w:lang w:val="fr-FR"/>
        </w:rPr>
        <w:t>com</w:t>
      </w:r>
      <w:proofErr w:type="spellEnd"/>
      <w:r w:rsidRPr="001C2BED">
        <w:rPr>
          <w:rFonts w:ascii="Times New Roman" w:hAnsi="Times New Roman" w:cs="Times New Roman"/>
          <w:i/>
        </w:rPr>
        <w:t xml:space="preserve"> (</w:t>
      </w:r>
      <w:r w:rsidRPr="001C2BED">
        <w:rPr>
          <w:rFonts w:ascii="Times New Roman" w:hAnsi="Times New Roman" w:cs="Times New Roman"/>
          <w:i/>
          <w:lang w:val="fr-FR"/>
        </w:rPr>
        <w:t>Wanadoo</w:t>
      </w:r>
      <w:r w:rsidRPr="001C2BED">
        <w:rPr>
          <w:rFonts w:ascii="Times New Roman" w:hAnsi="Times New Roman" w:cs="Times New Roman"/>
          <w:i/>
        </w:rPr>
        <w:t>)</w:t>
      </w:r>
      <w:r w:rsidRPr="001C2BED">
        <w:rPr>
          <w:rFonts w:ascii="Times New Roman" w:hAnsi="Times New Roman" w:cs="Times New Roman"/>
        </w:rPr>
        <w:t xml:space="preserve">, Συλλογή 2007, σελ. </w:t>
      </w:r>
      <w:r w:rsidRPr="001C2BED">
        <w:rPr>
          <w:rFonts w:ascii="Times New Roman" w:hAnsi="Times New Roman" w:cs="Times New Roman"/>
          <w:lang w:val="fr-FR"/>
        </w:rPr>
        <w:t>II</w:t>
      </w:r>
      <w:r w:rsidRPr="001C2BED">
        <w:rPr>
          <w:rFonts w:ascii="Times New Roman" w:hAnsi="Times New Roman" w:cs="Times New Roman"/>
        </w:rPr>
        <w:t xml:space="preserve">-107. </w:t>
      </w:r>
    </w:p>
  </w:footnote>
  <w:footnote w:id="47">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Σύμφωνα με το τεστ </w:t>
      </w:r>
      <w:r w:rsidRPr="001C2BED">
        <w:rPr>
          <w:rFonts w:ascii="Times New Roman" w:hAnsi="Times New Roman" w:cs="Times New Roman"/>
          <w:lang w:val="en-US"/>
        </w:rPr>
        <w:t>SSNIP</w:t>
      </w:r>
      <w:r w:rsidRPr="001C2BED">
        <w:rPr>
          <w:rFonts w:ascii="Times New Roman" w:hAnsi="Times New Roman" w:cs="Times New Roman"/>
        </w:rPr>
        <w:t>, το οποίο υιοθετείται από την Επιτροπή στην Ανακοίνωσή της  σχετικά με τις μεθόδους οριοθέτησης «της σχετικής αγοράς προϊόντος» (ΕΕΕΕ C 372/5 του 1997), εάν η δυνατότητα υποκατάστασης από την άποψη της ζήτησης θα καθιστούσε την αύξηση της τιμής του εξεταζόμενου προϊόντος μη κερδοφόρα λόγω απώλειας πωλήσεων, τότε υποκατάστατα πρόσθετα προϊόντα θα συμπεριληφθούν στη σχετική αγορά.</w:t>
      </w:r>
    </w:p>
  </w:footnote>
  <w:footnote w:id="48">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w:t>
      </w:r>
      <w:r w:rsidRPr="001C2BED">
        <w:rPr>
          <w:rFonts w:ascii="Times New Roman" w:hAnsi="Times New Roman" w:cs="Times New Roman"/>
          <w:lang w:val="fr-FR"/>
        </w:rPr>
        <w:t>T</w:t>
      </w:r>
      <w:r w:rsidRPr="001C2BED">
        <w:rPr>
          <w:rFonts w:ascii="Times New Roman" w:hAnsi="Times New Roman" w:cs="Times New Roman"/>
        </w:rPr>
        <w:t xml:space="preserve">-340/03, </w:t>
      </w:r>
      <w:proofErr w:type="spellStart"/>
      <w:r w:rsidRPr="001C2BED">
        <w:rPr>
          <w:rFonts w:ascii="Times New Roman" w:hAnsi="Times New Roman" w:cs="Times New Roman"/>
          <w:i/>
          <w:lang w:val="fr-FR"/>
        </w:rPr>
        <w:t>FranceT</w:t>
      </w:r>
      <w:proofErr w:type="spellEnd"/>
      <w:r w:rsidRPr="001C2BED">
        <w:rPr>
          <w:rFonts w:ascii="Times New Roman" w:hAnsi="Times New Roman" w:cs="Times New Roman"/>
          <w:i/>
        </w:rPr>
        <w:t>é</w:t>
      </w:r>
      <w:r w:rsidRPr="001C2BED">
        <w:rPr>
          <w:rFonts w:ascii="Times New Roman" w:hAnsi="Times New Roman" w:cs="Times New Roman"/>
          <w:i/>
          <w:lang w:val="fr-FR"/>
        </w:rPr>
        <w:t>l</w:t>
      </w:r>
      <w:r w:rsidRPr="001C2BED">
        <w:rPr>
          <w:rFonts w:ascii="Times New Roman" w:hAnsi="Times New Roman" w:cs="Times New Roman"/>
          <w:i/>
        </w:rPr>
        <w:t>é</w:t>
      </w:r>
      <w:proofErr w:type="spellStart"/>
      <w:r w:rsidRPr="001C2BED">
        <w:rPr>
          <w:rFonts w:ascii="Times New Roman" w:hAnsi="Times New Roman" w:cs="Times New Roman"/>
          <w:i/>
          <w:lang w:val="fr-FR"/>
        </w:rPr>
        <w:t>com</w:t>
      </w:r>
      <w:proofErr w:type="spellEnd"/>
      <w:r w:rsidRPr="001C2BED">
        <w:rPr>
          <w:rFonts w:ascii="Times New Roman" w:hAnsi="Times New Roman" w:cs="Times New Roman"/>
          <w:i/>
        </w:rPr>
        <w:t xml:space="preserve"> (</w:t>
      </w:r>
      <w:r w:rsidRPr="001C2BED">
        <w:rPr>
          <w:rFonts w:ascii="Times New Roman" w:hAnsi="Times New Roman" w:cs="Times New Roman"/>
          <w:i/>
          <w:lang w:val="fr-FR"/>
        </w:rPr>
        <w:t>Wanadoo</w:t>
      </w:r>
      <w:r w:rsidRPr="001C2BED">
        <w:rPr>
          <w:rFonts w:ascii="Times New Roman" w:hAnsi="Times New Roman" w:cs="Times New Roman"/>
          <w:i/>
        </w:rPr>
        <w:t>)</w:t>
      </w:r>
      <w:r w:rsidRPr="001C2BED">
        <w:rPr>
          <w:rFonts w:ascii="Times New Roman" w:hAnsi="Times New Roman" w:cs="Times New Roman"/>
        </w:rPr>
        <w:t xml:space="preserve">, Συλλογή 2007, σελ. </w:t>
      </w:r>
      <w:r w:rsidRPr="001C2BED">
        <w:rPr>
          <w:rFonts w:ascii="Times New Roman" w:hAnsi="Times New Roman" w:cs="Times New Roman"/>
          <w:lang w:val="fr-FR"/>
        </w:rPr>
        <w:t>II</w:t>
      </w:r>
      <w:r w:rsidRPr="001C2BED">
        <w:rPr>
          <w:rFonts w:ascii="Times New Roman" w:hAnsi="Times New Roman" w:cs="Times New Roman"/>
        </w:rPr>
        <w:t>-107, παρ. 88–89.</w:t>
      </w:r>
    </w:p>
  </w:footnote>
  <w:footnote w:id="49">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spellStart"/>
      <w:r w:rsidRPr="001C2BED">
        <w:rPr>
          <w:rFonts w:ascii="Times New Roman" w:hAnsi="Times New Roman" w:cs="Times New Roman"/>
          <w:i/>
          <w:lang w:val="fr-FR"/>
        </w:rPr>
        <w:t>Ibid</w:t>
      </w:r>
      <w:proofErr w:type="spellEnd"/>
      <w:r w:rsidRPr="001C2BED">
        <w:rPr>
          <w:rFonts w:ascii="Times New Roman" w:hAnsi="Times New Roman" w:cs="Times New Roman"/>
        </w:rPr>
        <w:t>, παρ. 90.</w:t>
      </w:r>
    </w:p>
  </w:footnote>
  <w:footnote w:id="50">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-202/07</w:t>
      </w:r>
      <w:r w:rsidRPr="001C2BED">
        <w:rPr>
          <w:rFonts w:ascii="Times New Roman" w:hAnsi="Times New Roman" w:cs="Times New Roman"/>
          <w:lang w:val="en-US"/>
        </w:rPr>
        <w:t>P</w:t>
      </w:r>
      <w:r w:rsidRPr="001C2BED">
        <w:rPr>
          <w:rFonts w:ascii="Times New Roman" w:hAnsi="Times New Roman" w:cs="Times New Roman"/>
        </w:rPr>
        <w:t xml:space="preserve">, </w:t>
      </w:r>
      <w:proofErr w:type="spellStart"/>
      <w:r w:rsidRPr="001C2BED">
        <w:rPr>
          <w:rFonts w:ascii="Times New Roman" w:hAnsi="Times New Roman" w:cs="Times New Roman"/>
          <w:i/>
          <w:lang w:val="fr-FR"/>
        </w:rPr>
        <w:t>FranceT</w:t>
      </w:r>
      <w:proofErr w:type="spellEnd"/>
      <w:r w:rsidRPr="001C2BED">
        <w:rPr>
          <w:rFonts w:ascii="Times New Roman" w:hAnsi="Times New Roman" w:cs="Times New Roman"/>
          <w:i/>
        </w:rPr>
        <w:t>é</w:t>
      </w:r>
      <w:r w:rsidRPr="001C2BED">
        <w:rPr>
          <w:rFonts w:ascii="Times New Roman" w:hAnsi="Times New Roman" w:cs="Times New Roman"/>
          <w:i/>
          <w:lang w:val="fr-FR"/>
        </w:rPr>
        <w:t>l</w:t>
      </w:r>
      <w:r w:rsidRPr="001C2BED">
        <w:rPr>
          <w:rFonts w:ascii="Times New Roman" w:hAnsi="Times New Roman" w:cs="Times New Roman"/>
          <w:i/>
        </w:rPr>
        <w:t>é</w:t>
      </w:r>
      <w:proofErr w:type="spellStart"/>
      <w:r w:rsidRPr="001C2BED">
        <w:rPr>
          <w:rFonts w:ascii="Times New Roman" w:hAnsi="Times New Roman" w:cs="Times New Roman"/>
          <w:i/>
          <w:lang w:val="fr-FR"/>
        </w:rPr>
        <w:t>com</w:t>
      </w:r>
      <w:proofErr w:type="spellEnd"/>
      <w:r w:rsidRPr="001C2BED">
        <w:rPr>
          <w:rFonts w:ascii="Times New Roman" w:hAnsi="Times New Roman" w:cs="Times New Roman"/>
          <w:i/>
        </w:rPr>
        <w:t xml:space="preserve"> (</w:t>
      </w:r>
      <w:r w:rsidRPr="001C2BED">
        <w:rPr>
          <w:rFonts w:ascii="Times New Roman" w:hAnsi="Times New Roman" w:cs="Times New Roman"/>
          <w:i/>
          <w:lang w:val="fr-FR"/>
        </w:rPr>
        <w:t>Wanadoo</w:t>
      </w:r>
      <w:r w:rsidRPr="001C2BED">
        <w:rPr>
          <w:rFonts w:ascii="Times New Roman" w:hAnsi="Times New Roman" w:cs="Times New Roman"/>
          <w:i/>
        </w:rPr>
        <w:t>)</w:t>
      </w:r>
      <w:r w:rsidRPr="001C2BED">
        <w:rPr>
          <w:rFonts w:ascii="Times New Roman" w:hAnsi="Times New Roman" w:cs="Times New Roman"/>
        </w:rPr>
        <w:t xml:space="preserve">, Συλλογή 2009, σελ. </w:t>
      </w:r>
      <w:proofErr w:type="gramStart"/>
      <w:r w:rsidRPr="001C2BED">
        <w:rPr>
          <w:rFonts w:ascii="Times New Roman" w:hAnsi="Times New Roman" w:cs="Times New Roman"/>
          <w:lang w:val="en-US"/>
        </w:rPr>
        <w:t>I-2369.</w:t>
      </w:r>
      <w:proofErr w:type="gramEnd"/>
    </w:p>
  </w:footnote>
  <w:footnote w:id="51">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proofErr w:type="spellStart"/>
      <w:r w:rsidRPr="001C2BED">
        <w:rPr>
          <w:rFonts w:ascii="Times New Roman" w:hAnsi="Times New Roman" w:cs="Times New Roman"/>
          <w:i/>
          <w:lang w:val="en-US"/>
        </w:rPr>
        <w:t>O’Donoghue</w:t>
      </w:r>
      <w:proofErr w:type="spellEnd"/>
      <w:r w:rsidRPr="001C2BED">
        <w:rPr>
          <w:rFonts w:ascii="Times New Roman" w:hAnsi="Times New Roman" w:cs="Times New Roman"/>
          <w:i/>
          <w:lang w:val="en-US"/>
        </w:rPr>
        <w:t xml:space="preserve"> R. and Padilla J.</w:t>
      </w:r>
      <w:r w:rsidRPr="001C2BED">
        <w:rPr>
          <w:rFonts w:ascii="Times New Roman" w:hAnsi="Times New Roman" w:cs="Times New Roman"/>
          <w:lang w:val="en-US"/>
        </w:rPr>
        <w:t xml:space="preserve">, The Law and Economics of Article 102 TFEU (Second Edition, Hart Publishing 2013), </w:t>
      </w:r>
      <w:r w:rsidRPr="001C2BED">
        <w:rPr>
          <w:rFonts w:ascii="Times New Roman" w:hAnsi="Times New Roman" w:cs="Times New Roman"/>
        </w:rPr>
        <w:t>σελ</w:t>
      </w:r>
      <w:r w:rsidRPr="001C2BED">
        <w:rPr>
          <w:rFonts w:ascii="Times New Roman" w:hAnsi="Times New Roman" w:cs="Times New Roman"/>
          <w:lang w:val="en-US"/>
        </w:rPr>
        <w:t>. 120.</w:t>
      </w:r>
    </w:p>
  </w:footnote>
  <w:footnote w:id="52">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r w:rsidRPr="001C2BED">
        <w:rPr>
          <w:rFonts w:ascii="Times New Roman" w:hAnsi="Times New Roman" w:cs="Times New Roman"/>
        </w:rPr>
        <w:t>ΠΕΚΤ</w:t>
      </w:r>
      <w:r w:rsidRPr="001C2BED">
        <w:rPr>
          <w:rFonts w:ascii="Times New Roman" w:hAnsi="Times New Roman" w:cs="Times New Roman"/>
          <w:lang w:val="en-US"/>
        </w:rPr>
        <w:t xml:space="preserve">-201/04, </w:t>
      </w:r>
      <w:r w:rsidRPr="001C2BED">
        <w:rPr>
          <w:rFonts w:ascii="Times New Roman" w:hAnsi="Times New Roman" w:cs="Times New Roman"/>
          <w:i/>
          <w:lang w:val="en-US"/>
        </w:rPr>
        <w:t xml:space="preserve">Microsoft v. </w:t>
      </w:r>
      <w:proofErr w:type="gramStart"/>
      <w:r w:rsidRPr="001C2BED">
        <w:rPr>
          <w:rFonts w:ascii="Times New Roman" w:hAnsi="Times New Roman" w:cs="Times New Roman"/>
          <w:i/>
          <w:lang w:val="en-US"/>
        </w:rPr>
        <w:t>Commission</w:t>
      </w:r>
      <w:r w:rsidRPr="001C2BED">
        <w:rPr>
          <w:rFonts w:ascii="Times New Roman" w:hAnsi="Times New Roman" w:cs="Times New Roman"/>
          <w:lang w:val="en-US"/>
        </w:rPr>
        <w:t xml:space="preserve">, </w:t>
      </w:r>
      <w:r w:rsidRPr="001C2BED">
        <w:rPr>
          <w:rFonts w:ascii="Times New Roman" w:hAnsi="Times New Roman" w:cs="Times New Roman"/>
        </w:rPr>
        <w:t>Συλλογή</w:t>
      </w:r>
      <w:r w:rsidRPr="001C2BED">
        <w:rPr>
          <w:rFonts w:ascii="Times New Roman" w:hAnsi="Times New Roman" w:cs="Times New Roman"/>
          <w:lang w:val="en-US"/>
        </w:rPr>
        <w:t xml:space="preserve"> 2007, </w:t>
      </w:r>
      <w:r w:rsidRPr="001C2BED">
        <w:rPr>
          <w:rFonts w:ascii="Times New Roman" w:hAnsi="Times New Roman" w:cs="Times New Roman"/>
        </w:rPr>
        <w:t>σελ</w:t>
      </w:r>
      <w:r w:rsidRPr="001C2BED">
        <w:rPr>
          <w:rFonts w:ascii="Times New Roman" w:hAnsi="Times New Roman" w:cs="Times New Roman"/>
          <w:lang w:val="en-US"/>
        </w:rPr>
        <w:t>.</w:t>
      </w:r>
      <w:r w:rsidRPr="001C2BED">
        <w:rPr>
          <w:rFonts w:ascii="Times New Roman" w:hAnsi="Times New Roman" w:cs="Times New Roman"/>
        </w:rPr>
        <w:t>ΙΙ</w:t>
      </w:r>
      <w:r w:rsidRPr="001C2BED">
        <w:rPr>
          <w:rFonts w:ascii="Times New Roman" w:hAnsi="Times New Roman" w:cs="Times New Roman"/>
          <w:lang w:val="en-US"/>
        </w:rPr>
        <w:t xml:space="preserve">-3601, </w:t>
      </w:r>
      <w:r w:rsidRPr="001C2BED">
        <w:rPr>
          <w:rFonts w:ascii="Times New Roman" w:hAnsi="Times New Roman" w:cs="Times New Roman"/>
        </w:rPr>
        <w:t>παρ</w:t>
      </w:r>
      <w:r w:rsidRPr="001C2BED">
        <w:rPr>
          <w:rFonts w:ascii="Times New Roman" w:hAnsi="Times New Roman" w:cs="Times New Roman"/>
          <w:lang w:val="en-US"/>
        </w:rPr>
        <w:t>.</w:t>
      </w:r>
      <w:proofErr w:type="gramEnd"/>
      <w:r w:rsidRPr="001C2BED">
        <w:rPr>
          <w:rFonts w:ascii="Times New Roman" w:hAnsi="Times New Roman" w:cs="Times New Roman"/>
          <w:lang w:val="en-US"/>
        </w:rPr>
        <w:t xml:space="preserve"> 914.</w:t>
      </w:r>
    </w:p>
  </w:footnote>
  <w:footnote w:id="53">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r w:rsidRPr="001C2BED">
        <w:rPr>
          <w:rFonts w:ascii="Times New Roman" w:hAnsi="Times New Roman" w:cs="Times New Roman"/>
        </w:rPr>
        <w:t>ΠΕΚΤ</w:t>
      </w:r>
      <w:r w:rsidRPr="001C2BED">
        <w:rPr>
          <w:rFonts w:ascii="Times New Roman" w:hAnsi="Times New Roman" w:cs="Times New Roman"/>
          <w:lang w:val="en-US"/>
        </w:rPr>
        <w:t xml:space="preserve">-301/04, </w:t>
      </w:r>
      <w:proofErr w:type="spellStart"/>
      <w:r w:rsidRPr="001C2BED">
        <w:rPr>
          <w:rFonts w:ascii="Times New Roman" w:hAnsi="Times New Roman" w:cs="Times New Roman"/>
          <w:i/>
          <w:lang w:val="en-US"/>
        </w:rPr>
        <w:t>ClearStream</w:t>
      </w:r>
      <w:proofErr w:type="spellEnd"/>
      <w:r w:rsidRPr="001C2BED">
        <w:rPr>
          <w:rFonts w:ascii="Times New Roman" w:hAnsi="Times New Roman" w:cs="Times New Roman"/>
          <w:lang w:val="en-US"/>
        </w:rPr>
        <w:t xml:space="preserve">, </w:t>
      </w:r>
      <w:r w:rsidRPr="001C2BED">
        <w:rPr>
          <w:rFonts w:ascii="Times New Roman" w:hAnsi="Times New Roman" w:cs="Times New Roman"/>
        </w:rPr>
        <w:t>Συλλογή</w:t>
      </w:r>
      <w:r w:rsidRPr="001C2BED">
        <w:rPr>
          <w:rFonts w:ascii="Times New Roman" w:hAnsi="Times New Roman" w:cs="Times New Roman"/>
          <w:lang w:val="en-US"/>
        </w:rPr>
        <w:t xml:space="preserve"> 2009, </w:t>
      </w:r>
      <w:r w:rsidRPr="001C2BED">
        <w:rPr>
          <w:rFonts w:ascii="Times New Roman" w:hAnsi="Times New Roman" w:cs="Times New Roman"/>
        </w:rPr>
        <w:t>σελ</w:t>
      </w:r>
      <w:r w:rsidRPr="001C2BED">
        <w:rPr>
          <w:rFonts w:ascii="Times New Roman" w:hAnsi="Times New Roman" w:cs="Times New Roman"/>
          <w:lang w:val="en-US"/>
        </w:rPr>
        <w:t xml:space="preserve">. </w:t>
      </w:r>
      <w:r w:rsidRPr="001C2BED">
        <w:rPr>
          <w:rFonts w:ascii="Times New Roman" w:hAnsi="Times New Roman" w:cs="Times New Roman"/>
        </w:rPr>
        <w:t>ΙΙ</w:t>
      </w:r>
      <w:r w:rsidRPr="001C2BED">
        <w:rPr>
          <w:rFonts w:ascii="Times New Roman" w:hAnsi="Times New Roman" w:cs="Times New Roman"/>
          <w:lang w:val="en-US"/>
        </w:rPr>
        <w:t xml:space="preserve">-3155, </w:t>
      </w:r>
      <w:r w:rsidRPr="001C2BED">
        <w:rPr>
          <w:rFonts w:ascii="Times New Roman" w:hAnsi="Times New Roman" w:cs="Times New Roman"/>
        </w:rPr>
        <w:t>παρ</w:t>
      </w:r>
      <w:r w:rsidRPr="001C2BED">
        <w:rPr>
          <w:rFonts w:ascii="Times New Roman" w:hAnsi="Times New Roman" w:cs="Times New Roman"/>
          <w:lang w:val="en-US"/>
        </w:rPr>
        <w:t>. 51-57.</w:t>
      </w:r>
    </w:p>
  </w:footnote>
  <w:footnote w:id="54">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r w:rsidRPr="001C2BED">
        <w:rPr>
          <w:rFonts w:ascii="Times New Roman" w:hAnsi="Times New Roman" w:cs="Times New Roman"/>
        </w:rPr>
        <w:t>ΔΕΚ</w:t>
      </w:r>
      <w:r w:rsidRPr="001C2BED">
        <w:rPr>
          <w:rFonts w:ascii="Times New Roman" w:hAnsi="Times New Roman" w:cs="Times New Roman"/>
          <w:lang w:val="en-US"/>
        </w:rPr>
        <w:t xml:space="preserve"> C-6/72, </w:t>
      </w:r>
      <w:r w:rsidRPr="001C2BED">
        <w:rPr>
          <w:rFonts w:ascii="Times New Roman" w:hAnsi="Times New Roman" w:cs="Times New Roman"/>
          <w:i/>
          <w:lang w:val="en-US"/>
        </w:rPr>
        <w:t>Continental Can</w:t>
      </w:r>
      <w:r w:rsidRPr="001C2BED">
        <w:rPr>
          <w:rFonts w:ascii="Times New Roman" w:hAnsi="Times New Roman" w:cs="Times New Roman"/>
          <w:lang w:val="en-US"/>
        </w:rPr>
        <w:t xml:space="preserve">, </w:t>
      </w:r>
      <w:r w:rsidRPr="001C2BED">
        <w:rPr>
          <w:rFonts w:ascii="Times New Roman" w:hAnsi="Times New Roman" w:cs="Times New Roman"/>
        </w:rPr>
        <w:t>Συλλογή</w:t>
      </w:r>
      <w:r w:rsidRPr="001C2BED">
        <w:rPr>
          <w:rFonts w:ascii="Times New Roman" w:hAnsi="Times New Roman" w:cs="Times New Roman"/>
          <w:lang w:val="en-US"/>
        </w:rPr>
        <w:t xml:space="preserve"> 1973, </w:t>
      </w:r>
      <w:r w:rsidRPr="001C2BED">
        <w:rPr>
          <w:rFonts w:ascii="Times New Roman" w:hAnsi="Times New Roman" w:cs="Times New Roman"/>
        </w:rPr>
        <w:t>σελ</w:t>
      </w:r>
      <w:r w:rsidRPr="001C2BED">
        <w:rPr>
          <w:rFonts w:ascii="Times New Roman" w:hAnsi="Times New Roman" w:cs="Times New Roman"/>
          <w:lang w:val="en-US"/>
        </w:rPr>
        <w:t xml:space="preserve">. </w:t>
      </w:r>
      <w:proofErr w:type="gramStart"/>
      <w:r w:rsidRPr="001C2BED">
        <w:rPr>
          <w:rFonts w:ascii="Times New Roman" w:hAnsi="Times New Roman" w:cs="Times New Roman"/>
          <w:lang w:val="en-US"/>
        </w:rPr>
        <w:t xml:space="preserve">215, </w:t>
      </w:r>
      <w:r w:rsidRPr="001C2BED">
        <w:rPr>
          <w:rFonts w:ascii="Times New Roman" w:hAnsi="Times New Roman" w:cs="Times New Roman"/>
        </w:rPr>
        <w:t>παρ</w:t>
      </w:r>
      <w:r w:rsidRPr="001C2BED">
        <w:rPr>
          <w:rFonts w:ascii="Times New Roman" w:hAnsi="Times New Roman" w:cs="Times New Roman"/>
          <w:lang w:val="en-US"/>
        </w:rPr>
        <w:t>.</w:t>
      </w:r>
      <w:proofErr w:type="gramEnd"/>
      <w:r w:rsidRPr="001C2BED">
        <w:rPr>
          <w:rFonts w:ascii="Times New Roman" w:hAnsi="Times New Roman" w:cs="Times New Roman"/>
          <w:lang w:val="en-US"/>
        </w:rPr>
        <w:t xml:space="preserve"> 33. </w:t>
      </w:r>
    </w:p>
  </w:footnote>
  <w:footnote w:id="55">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 xml:space="preserve">-322/81, </w:t>
      </w:r>
      <w:r w:rsidRPr="001C2BED">
        <w:rPr>
          <w:rFonts w:ascii="Times New Roman" w:hAnsi="Times New Roman" w:cs="Times New Roman"/>
          <w:i/>
          <w:lang w:val="en-US"/>
        </w:rPr>
        <w:t>MichelinI</w:t>
      </w:r>
      <w:r w:rsidRPr="001C2BED">
        <w:rPr>
          <w:rFonts w:ascii="Times New Roman" w:hAnsi="Times New Roman" w:cs="Times New Roman"/>
        </w:rPr>
        <w:t>, Συλλογή 1983, σελ. 3461, παρ. 41. Σύμφωνα με τη φρασεολογία της απόφασης, «το γεγονός ότι η τροποποίηση των εγκαταστάσεων παραγωγής που είναι αναγκαία για την κατασκευή ελαφρών ελαστικών αντί βαρέων ελαστικών και αντιστρόφως, απαιτεί σημαντικά χρονικά διαστήματα και επενδύσεις, έχει ως αποτέλεσμα ότι δεν υπάρχουν αισθητές σχέσεις μεταξύ των δύο ομάδων που να επιτρέπουν την προσαρμογή στην κατάσταση της ζητήσεως στην αγορά.»</w:t>
      </w:r>
    </w:p>
  </w:footnote>
  <w:footnote w:id="56">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w:t>
      </w:r>
      <w:r w:rsidRPr="001C2BED">
        <w:rPr>
          <w:rFonts w:ascii="Times New Roman" w:hAnsi="Times New Roman" w:cs="Times New Roman"/>
          <w:lang w:val="en-US"/>
        </w:rPr>
        <w:t>T</w:t>
      </w:r>
      <w:r w:rsidRPr="001C2BED">
        <w:rPr>
          <w:rFonts w:ascii="Times New Roman" w:hAnsi="Times New Roman" w:cs="Times New Roman"/>
        </w:rPr>
        <w:t xml:space="preserve">-65/96, </w:t>
      </w:r>
      <w:r w:rsidRPr="001C2BED">
        <w:rPr>
          <w:rFonts w:ascii="Times New Roman" w:hAnsi="Times New Roman" w:cs="Times New Roman"/>
          <w:i/>
          <w:lang w:val="en-US"/>
        </w:rPr>
        <w:t>KishGlass</w:t>
      </w:r>
      <w:r w:rsidRPr="001C2BED">
        <w:rPr>
          <w:rFonts w:ascii="Times New Roman" w:hAnsi="Times New Roman" w:cs="Times New Roman"/>
        </w:rPr>
        <w:t xml:space="preserve">, Συλλογή 2000, σελ. </w:t>
      </w:r>
      <w:proofErr w:type="gramStart"/>
      <w:r w:rsidRPr="001C2BED">
        <w:rPr>
          <w:rFonts w:ascii="Times New Roman" w:hAnsi="Times New Roman" w:cs="Times New Roman"/>
          <w:lang w:val="en-US"/>
        </w:rPr>
        <w:t>II</w:t>
      </w:r>
      <w:r w:rsidRPr="001C2BED">
        <w:rPr>
          <w:rFonts w:ascii="Times New Roman" w:hAnsi="Times New Roman" w:cs="Times New Roman"/>
        </w:rPr>
        <w:t>-1885, παρ.</w:t>
      </w:r>
      <w:proofErr w:type="gramEnd"/>
      <w:r w:rsidRPr="001C2BED">
        <w:rPr>
          <w:rFonts w:ascii="Times New Roman" w:hAnsi="Times New Roman" w:cs="Times New Roman"/>
        </w:rPr>
        <w:t xml:space="preserve"> 68. Η απόφαση επικυρώθηκε καθ’ ολοκληρία από το Δικαστήριο (βλ. ΔΕΚ </w:t>
      </w:r>
      <w:r w:rsidRPr="001C2BED">
        <w:rPr>
          <w:rFonts w:ascii="Times New Roman" w:hAnsi="Times New Roman" w:cs="Times New Roman"/>
          <w:lang w:val="en-US"/>
        </w:rPr>
        <w:t>C</w:t>
      </w:r>
      <w:r w:rsidRPr="001C2BED">
        <w:rPr>
          <w:rFonts w:ascii="Times New Roman" w:hAnsi="Times New Roman" w:cs="Times New Roman"/>
        </w:rPr>
        <w:t xml:space="preserve">-241/00 </w:t>
      </w:r>
      <w:r w:rsidRPr="001C2BED">
        <w:rPr>
          <w:rFonts w:ascii="Times New Roman" w:hAnsi="Times New Roman" w:cs="Times New Roman"/>
          <w:lang w:val="en-US"/>
        </w:rPr>
        <w:t>P</w:t>
      </w:r>
      <w:r w:rsidRPr="001C2BED">
        <w:rPr>
          <w:rFonts w:ascii="Times New Roman" w:hAnsi="Times New Roman" w:cs="Times New Roman"/>
        </w:rPr>
        <w:t xml:space="preserve">, </w:t>
      </w:r>
      <w:r w:rsidRPr="001C2BED">
        <w:rPr>
          <w:rFonts w:ascii="Times New Roman" w:hAnsi="Times New Roman" w:cs="Times New Roman"/>
          <w:i/>
          <w:lang w:val="en-US"/>
        </w:rPr>
        <w:t>KishGlass</w:t>
      </w:r>
      <w:r w:rsidRPr="001C2BED">
        <w:rPr>
          <w:rFonts w:ascii="Times New Roman" w:hAnsi="Times New Roman" w:cs="Times New Roman"/>
        </w:rPr>
        <w:t xml:space="preserve">, Συλλογή 2001, σελ. </w:t>
      </w:r>
      <w:proofErr w:type="gramStart"/>
      <w:r w:rsidRPr="001C2BED">
        <w:rPr>
          <w:rFonts w:ascii="Times New Roman" w:hAnsi="Times New Roman" w:cs="Times New Roman"/>
          <w:lang w:val="en-US"/>
        </w:rPr>
        <w:t>I</w:t>
      </w:r>
      <w:r w:rsidRPr="001C2BED">
        <w:rPr>
          <w:rFonts w:ascii="Times New Roman" w:hAnsi="Times New Roman" w:cs="Times New Roman"/>
        </w:rPr>
        <w:t>-07759).</w:t>
      </w:r>
      <w:proofErr w:type="gramEnd"/>
    </w:p>
  </w:footnote>
  <w:footnote w:id="57">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Η εφοδιαστική αλυσίδα αποτελείται από όλες εκείνες τις επιχειρήσεις και οργανισμούς που είναι απαραίτητοι έτσι ώστε ένα προϊόν από πρώτες ύλες να καταλήξει στον τελικό πελάτη.</w:t>
      </w:r>
    </w:p>
  </w:footnote>
  <w:footnote w:id="58">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 xml:space="preserve">-27/76, </w:t>
      </w:r>
      <w:r w:rsidRPr="001C2BED">
        <w:rPr>
          <w:rFonts w:ascii="Times New Roman" w:hAnsi="Times New Roman" w:cs="Times New Roman"/>
          <w:i/>
          <w:lang w:val="en-US"/>
        </w:rPr>
        <w:t>UnitedBrands</w:t>
      </w:r>
      <w:r w:rsidRPr="001C2BED">
        <w:rPr>
          <w:rFonts w:ascii="Times New Roman" w:hAnsi="Times New Roman" w:cs="Times New Roman"/>
        </w:rPr>
        <w:t>, Συλλογή 1978, σελ. 207, παρ. 228.</w:t>
      </w:r>
    </w:p>
  </w:footnote>
  <w:footnote w:id="59">
    <w:p w:rsidR="00176031" w:rsidRPr="001C2BED" w:rsidRDefault="00176031" w:rsidP="001C2BED">
      <w:pPr>
        <w:pStyle w:val="FootnoteText"/>
        <w:jc w:val="both"/>
        <w:rPr>
          <w:rFonts w:ascii="Times New Roman" w:hAnsi="Times New Roman" w:cs="Times New Roman"/>
          <w:lang w:val="fr-FR"/>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w:t>
      </w:r>
      <w:r w:rsidRPr="001C2BED">
        <w:rPr>
          <w:rFonts w:ascii="Times New Roman" w:hAnsi="Times New Roman" w:cs="Times New Roman"/>
          <w:lang w:val="de-DE"/>
        </w:rPr>
        <w:t>T</w:t>
      </w:r>
      <w:r w:rsidRPr="001C2BED">
        <w:rPr>
          <w:rFonts w:ascii="Times New Roman" w:hAnsi="Times New Roman" w:cs="Times New Roman"/>
        </w:rPr>
        <w:t xml:space="preserve">-30/89, </w:t>
      </w:r>
      <w:r w:rsidRPr="001C2BED">
        <w:rPr>
          <w:rFonts w:ascii="Times New Roman" w:hAnsi="Times New Roman" w:cs="Times New Roman"/>
          <w:i/>
          <w:lang w:val="de-DE"/>
        </w:rPr>
        <w:t>Hilti</w:t>
      </w:r>
      <w:r w:rsidRPr="001C2BED">
        <w:rPr>
          <w:rFonts w:ascii="Times New Roman" w:hAnsi="Times New Roman" w:cs="Times New Roman"/>
        </w:rPr>
        <w:t>, Συλλογή 1991, σελ. ΙΙ</w:t>
      </w:r>
      <w:r w:rsidRPr="001C2BED">
        <w:rPr>
          <w:rFonts w:ascii="Times New Roman" w:hAnsi="Times New Roman" w:cs="Times New Roman"/>
          <w:lang w:val="fr-FR"/>
        </w:rPr>
        <w:t xml:space="preserve">-1439, </w:t>
      </w:r>
      <w:r w:rsidRPr="001C2BED">
        <w:rPr>
          <w:rFonts w:ascii="Times New Roman" w:hAnsi="Times New Roman" w:cs="Times New Roman"/>
        </w:rPr>
        <w:t>παρ</w:t>
      </w:r>
      <w:r w:rsidRPr="001C2BED">
        <w:rPr>
          <w:rFonts w:ascii="Times New Roman" w:hAnsi="Times New Roman" w:cs="Times New Roman"/>
          <w:lang w:val="fr-FR"/>
        </w:rPr>
        <w:t>. 81.</w:t>
      </w:r>
    </w:p>
  </w:footnote>
  <w:footnote w:id="60">
    <w:p w:rsidR="00176031" w:rsidRPr="001C2BED" w:rsidRDefault="00176031" w:rsidP="001C2BED">
      <w:pPr>
        <w:pStyle w:val="FootnoteText"/>
        <w:jc w:val="both"/>
        <w:rPr>
          <w:rFonts w:ascii="Times New Roman" w:hAnsi="Times New Roman" w:cs="Times New Roman"/>
          <w:lang w:val="fr-FR"/>
        </w:rPr>
      </w:pPr>
      <w:r w:rsidRPr="001C2BED">
        <w:rPr>
          <w:rStyle w:val="FootnoteReference"/>
          <w:rFonts w:ascii="Times New Roman" w:hAnsi="Times New Roman" w:cs="Times New Roman"/>
        </w:rPr>
        <w:footnoteRef/>
      </w:r>
      <w:r w:rsidRPr="001C2BED">
        <w:rPr>
          <w:rFonts w:ascii="Times New Roman" w:hAnsi="Times New Roman" w:cs="Times New Roman"/>
        </w:rPr>
        <w:t>ΠΕΚΤ</w:t>
      </w:r>
      <w:r w:rsidRPr="001C2BED">
        <w:rPr>
          <w:rFonts w:ascii="Times New Roman" w:hAnsi="Times New Roman" w:cs="Times New Roman"/>
          <w:lang w:val="fr-FR"/>
        </w:rPr>
        <w:t xml:space="preserve">-128/98, </w:t>
      </w:r>
      <w:r w:rsidRPr="001C2BED">
        <w:rPr>
          <w:rFonts w:ascii="Times New Roman" w:hAnsi="Times New Roman" w:cs="Times New Roman"/>
          <w:i/>
          <w:lang w:val="fr-FR"/>
        </w:rPr>
        <w:t>Aéroports de Paris</w:t>
      </w:r>
      <w:r w:rsidRPr="001C2BED">
        <w:rPr>
          <w:rFonts w:ascii="Times New Roman" w:hAnsi="Times New Roman" w:cs="Times New Roman"/>
          <w:lang w:val="fr-FR"/>
        </w:rPr>
        <w:t xml:space="preserve">, </w:t>
      </w:r>
      <w:r w:rsidRPr="001C2BED">
        <w:rPr>
          <w:rFonts w:ascii="Times New Roman" w:hAnsi="Times New Roman" w:cs="Times New Roman"/>
        </w:rPr>
        <w:t>Συλλογή</w:t>
      </w:r>
      <w:r w:rsidRPr="001C2BED">
        <w:rPr>
          <w:rFonts w:ascii="Times New Roman" w:hAnsi="Times New Roman" w:cs="Times New Roman"/>
          <w:lang w:val="fr-FR"/>
        </w:rPr>
        <w:t xml:space="preserve"> 2000, </w:t>
      </w:r>
      <w:r w:rsidRPr="001C2BED">
        <w:rPr>
          <w:rFonts w:ascii="Times New Roman" w:hAnsi="Times New Roman" w:cs="Times New Roman"/>
        </w:rPr>
        <w:t>σελ</w:t>
      </w:r>
      <w:r w:rsidRPr="001C2BED">
        <w:rPr>
          <w:rFonts w:ascii="Times New Roman" w:hAnsi="Times New Roman" w:cs="Times New Roman"/>
          <w:lang w:val="fr-FR"/>
        </w:rPr>
        <w:t xml:space="preserve">. II-3929, </w:t>
      </w:r>
      <w:r w:rsidRPr="001C2BED">
        <w:rPr>
          <w:rFonts w:ascii="Times New Roman" w:hAnsi="Times New Roman" w:cs="Times New Roman"/>
        </w:rPr>
        <w:t>παρ</w:t>
      </w:r>
      <w:r w:rsidRPr="001C2BED">
        <w:rPr>
          <w:rFonts w:ascii="Times New Roman" w:hAnsi="Times New Roman" w:cs="Times New Roman"/>
          <w:lang w:val="fr-FR"/>
        </w:rPr>
        <w:t>. 141–143.</w:t>
      </w:r>
    </w:p>
  </w:footnote>
  <w:footnote w:id="61">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ΠΕΚΤ</w:t>
      </w:r>
      <w:r w:rsidRPr="001C2BED">
        <w:rPr>
          <w:rFonts w:ascii="Times New Roman" w:hAnsi="Times New Roman" w:cs="Times New Roman"/>
          <w:lang w:val="fr-FR"/>
        </w:rPr>
        <w:t xml:space="preserve">-201/04, </w:t>
      </w:r>
      <w:r w:rsidRPr="001C2BED">
        <w:rPr>
          <w:rFonts w:ascii="Times New Roman" w:hAnsi="Times New Roman" w:cs="Times New Roman"/>
          <w:i/>
          <w:lang w:val="fr-FR"/>
        </w:rPr>
        <w:t>Microsoft v. Commission</w:t>
      </w:r>
      <w:r w:rsidRPr="001C2BED">
        <w:rPr>
          <w:rFonts w:ascii="Times New Roman" w:hAnsi="Times New Roman" w:cs="Times New Roman"/>
          <w:lang w:val="fr-FR"/>
        </w:rPr>
        <w:t xml:space="preserve">, </w:t>
      </w:r>
      <w:r w:rsidRPr="001C2BED">
        <w:rPr>
          <w:rFonts w:ascii="Times New Roman" w:hAnsi="Times New Roman" w:cs="Times New Roman"/>
        </w:rPr>
        <w:t>Συλλογή</w:t>
      </w:r>
      <w:r w:rsidRPr="001C2BED">
        <w:rPr>
          <w:rFonts w:ascii="Times New Roman" w:hAnsi="Times New Roman" w:cs="Times New Roman"/>
          <w:lang w:val="fr-FR"/>
        </w:rPr>
        <w:t xml:space="preserve"> 2007, </w:t>
      </w:r>
      <w:r w:rsidRPr="001C2BED">
        <w:rPr>
          <w:rFonts w:ascii="Times New Roman" w:hAnsi="Times New Roman" w:cs="Times New Roman"/>
        </w:rPr>
        <w:t>σελ</w:t>
      </w:r>
      <w:r w:rsidRPr="001C2BED">
        <w:rPr>
          <w:rFonts w:ascii="Times New Roman" w:hAnsi="Times New Roman" w:cs="Times New Roman"/>
          <w:lang w:val="fr-FR"/>
        </w:rPr>
        <w:t xml:space="preserve">. </w:t>
      </w:r>
      <w:r w:rsidRPr="001C2BED">
        <w:rPr>
          <w:rFonts w:ascii="Times New Roman" w:hAnsi="Times New Roman" w:cs="Times New Roman"/>
        </w:rPr>
        <w:t>ΙΙ-3601, παρ. 1095.</w:t>
      </w:r>
    </w:p>
  </w:footnote>
  <w:footnote w:id="62">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ΕΕΕΕ </w:t>
      </w:r>
      <w:r w:rsidRPr="001C2BED">
        <w:rPr>
          <w:rFonts w:ascii="Times New Roman" w:hAnsi="Times New Roman" w:cs="Times New Roman"/>
          <w:lang w:val="fr-FR"/>
        </w:rPr>
        <w:t>C</w:t>
      </w:r>
      <w:r w:rsidRPr="001C2BED">
        <w:rPr>
          <w:rFonts w:ascii="Times New Roman" w:hAnsi="Times New Roman" w:cs="Times New Roman"/>
        </w:rPr>
        <w:t xml:space="preserve"> 372/5 του 1997.</w:t>
      </w:r>
    </w:p>
  </w:footnote>
  <w:footnote w:id="63">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Βλ. ΔΕΚ </w:t>
      </w:r>
      <w:r w:rsidRPr="001C2BED">
        <w:rPr>
          <w:rFonts w:ascii="Times New Roman" w:hAnsi="Times New Roman" w:cs="Times New Roman"/>
          <w:lang w:val="fr-FR"/>
        </w:rPr>
        <w:t>C</w:t>
      </w:r>
      <w:r w:rsidRPr="001C2BED">
        <w:rPr>
          <w:rFonts w:ascii="Times New Roman" w:hAnsi="Times New Roman" w:cs="Times New Roman"/>
        </w:rPr>
        <w:t xml:space="preserve">-85/76, </w:t>
      </w:r>
      <w:r w:rsidRPr="001C2BED">
        <w:rPr>
          <w:rFonts w:ascii="Times New Roman" w:hAnsi="Times New Roman" w:cs="Times New Roman"/>
          <w:i/>
          <w:lang w:val="fr-FR"/>
        </w:rPr>
        <w:t>Hoffmann</w:t>
      </w:r>
      <w:r w:rsidRPr="001C2BED">
        <w:rPr>
          <w:rFonts w:ascii="Times New Roman" w:hAnsi="Times New Roman" w:cs="Times New Roman"/>
          <w:i/>
        </w:rPr>
        <w:t>-</w:t>
      </w:r>
      <w:r w:rsidRPr="001C2BED">
        <w:rPr>
          <w:rFonts w:ascii="Times New Roman" w:hAnsi="Times New Roman" w:cs="Times New Roman"/>
          <w:i/>
          <w:lang w:val="fr-FR"/>
        </w:rPr>
        <w:t>LaRoche</w:t>
      </w:r>
      <w:r w:rsidRPr="001C2BED">
        <w:rPr>
          <w:rFonts w:ascii="Times New Roman" w:hAnsi="Times New Roman" w:cs="Times New Roman"/>
        </w:rPr>
        <w:t xml:space="preserve">, Συλλογή 1979, σελ. 461, παρ. 38· ΔΕΚ </w:t>
      </w:r>
      <w:r w:rsidRPr="001C2BED">
        <w:rPr>
          <w:rFonts w:ascii="Times New Roman" w:hAnsi="Times New Roman" w:cs="Times New Roman"/>
          <w:lang w:val="fr-FR"/>
        </w:rPr>
        <w:t>C</w:t>
      </w:r>
      <w:r w:rsidRPr="001C2BED">
        <w:rPr>
          <w:rFonts w:ascii="Times New Roman" w:hAnsi="Times New Roman" w:cs="Times New Roman"/>
        </w:rPr>
        <w:t xml:space="preserve">-27/76, </w:t>
      </w:r>
      <w:r w:rsidRPr="001C2BED">
        <w:rPr>
          <w:rFonts w:ascii="Times New Roman" w:hAnsi="Times New Roman" w:cs="Times New Roman"/>
          <w:i/>
          <w:lang w:val="fr-FR"/>
        </w:rPr>
        <w:t>UnitedBrands</w:t>
      </w:r>
      <w:r w:rsidRPr="001C2BED">
        <w:rPr>
          <w:rFonts w:ascii="Times New Roman" w:hAnsi="Times New Roman" w:cs="Times New Roman"/>
        </w:rPr>
        <w:t xml:space="preserve">, Συλλογή 1978, σελ. 75, παρ. 65· ΔΕΚ </w:t>
      </w:r>
      <w:r w:rsidRPr="001C2BED">
        <w:rPr>
          <w:rFonts w:ascii="Times New Roman" w:hAnsi="Times New Roman" w:cs="Times New Roman"/>
          <w:lang w:val="fr-FR"/>
        </w:rPr>
        <w:t>C</w:t>
      </w:r>
      <w:r w:rsidRPr="001C2BED">
        <w:rPr>
          <w:rFonts w:ascii="Times New Roman" w:hAnsi="Times New Roman" w:cs="Times New Roman"/>
        </w:rPr>
        <w:t xml:space="preserve">-322/81, </w:t>
      </w:r>
      <w:r w:rsidRPr="001C2BED">
        <w:rPr>
          <w:rFonts w:ascii="Times New Roman" w:hAnsi="Times New Roman" w:cs="Times New Roman"/>
          <w:i/>
          <w:lang w:val="fr-FR"/>
        </w:rPr>
        <w:t>MichelinI</w:t>
      </w:r>
      <w:r w:rsidRPr="001C2BED">
        <w:rPr>
          <w:rFonts w:ascii="Times New Roman" w:hAnsi="Times New Roman" w:cs="Times New Roman"/>
        </w:rPr>
        <w:t>, Συλλογή 1983, σελ. Ι-3461, παρ. 37.</w:t>
      </w:r>
    </w:p>
  </w:footnote>
  <w:footnote w:id="64">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 xml:space="preserve">-250/92, </w:t>
      </w:r>
      <w:proofErr w:type="spellStart"/>
      <w:r w:rsidRPr="001C2BED">
        <w:rPr>
          <w:rFonts w:ascii="Times New Roman" w:hAnsi="Times New Roman" w:cs="Times New Roman"/>
          <w:i/>
          <w:lang w:val="en-US"/>
        </w:rPr>
        <w:t>Gottrup</w:t>
      </w:r>
      <w:proofErr w:type="spellEnd"/>
      <w:r w:rsidRPr="001C2BED">
        <w:rPr>
          <w:rFonts w:ascii="Times New Roman" w:hAnsi="Times New Roman" w:cs="Times New Roman"/>
          <w:i/>
        </w:rPr>
        <w:t>-</w:t>
      </w:r>
      <w:proofErr w:type="spellStart"/>
      <w:r w:rsidRPr="001C2BED">
        <w:rPr>
          <w:rFonts w:ascii="Times New Roman" w:hAnsi="Times New Roman" w:cs="Times New Roman"/>
          <w:i/>
          <w:lang w:val="en-US"/>
        </w:rPr>
        <w:t>Klim</w:t>
      </w:r>
      <w:proofErr w:type="spellEnd"/>
      <w:r w:rsidRPr="001C2BED">
        <w:rPr>
          <w:rFonts w:ascii="Times New Roman" w:hAnsi="Times New Roman" w:cs="Times New Roman"/>
        </w:rPr>
        <w:t>, Συλλογή 1994, σελ. Ι-5641, παρ. 47.</w:t>
      </w:r>
    </w:p>
  </w:footnote>
  <w:footnote w:id="65">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w:t>
      </w:r>
      <w:r w:rsidRPr="001C2BED">
        <w:rPr>
          <w:rFonts w:ascii="Times New Roman" w:hAnsi="Times New Roman" w:cs="Times New Roman"/>
          <w:lang w:val="en-US"/>
        </w:rPr>
        <w:t>T</w:t>
      </w:r>
      <w:r w:rsidRPr="001C2BED">
        <w:rPr>
          <w:rFonts w:ascii="Times New Roman" w:hAnsi="Times New Roman" w:cs="Times New Roman"/>
        </w:rPr>
        <w:t xml:space="preserve">-139/98, </w:t>
      </w:r>
      <w:r w:rsidRPr="001C2BED">
        <w:rPr>
          <w:rFonts w:ascii="Times New Roman" w:hAnsi="Times New Roman" w:cs="Times New Roman"/>
          <w:i/>
          <w:lang w:val="en-US"/>
        </w:rPr>
        <w:t>AAMS</w:t>
      </w:r>
      <w:r w:rsidRPr="001C2BED">
        <w:rPr>
          <w:rFonts w:ascii="Times New Roman" w:hAnsi="Times New Roman" w:cs="Times New Roman"/>
        </w:rPr>
        <w:t>, Συλλογή 2001, σελ. ΙΙ-3413, παρ.. 51.</w:t>
      </w:r>
    </w:p>
  </w:footnote>
  <w:footnote w:id="66">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Τ-83/91, </w:t>
      </w:r>
      <w:proofErr w:type="spellStart"/>
      <w:r w:rsidRPr="001C2BED">
        <w:rPr>
          <w:rFonts w:ascii="Times New Roman" w:hAnsi="Times New Roman" w:cs="Times New Roman"/>
          <w:i/>
          <w:lang w:val="fr-FR"/>
        </w:rPr>
        <w:t>TetraPakII</w:t>
      </w:r>
      <w:proofErr w:type="spellEnd"/>
      <w:r w:rsidRPr="001C2BED">
        <w:rPr>
          <w:rFonts w:ascii="Times New Roman" w:hAnsi="Times New Roman" w:cs="Times New Roman"/>
        </w:rPr>
        <w:t>, Συλλογή 1994, σελ. ΙΙ-755, παρ. 109.</w:t>
      </w:r>
    </w:p>
  </w:footnote>
  <w:footnote w:id="67">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w:t>
      </w:r>
      <w:r w:rsidRPr="001C2BED">
        <w:rPr>
          <w:rFonts w:ascii="Times New Roman" w:hAnsi="Times New Roman" w:cs="Times New Roman"/>
          <w:lang w:val="en-US"/>
        </w:rPr>
        <w:t>T</w:t>
      </w:r>
      <w:r w:rsidRPr="001C2BED">
        <w:rPr>
          <w:rFonts w:ascii="Times New Roman" w:hAnsi="Times New Roman" w:cs="Times New Roman"/>
        </w:rPr>
        <w:t xml:space="preserve">-139/98, </w:t>
      </w:r>
      <w:r w:rsidRPr="001C2BED">
        <w:rPr>
          <w:rFonts w:ascii="Times New Roman" w:hAnsi="Times New Roman" w:cs="Times New Roman"/>
          <w:i/>
          <w:lang w:val="en-US"/>
        </w:rPr>
        <w:t>AAMS</w:t>
      </w:r>
      <w:r w:rsidRPr="001C2BED">
        <w:rPr>
          <w:rFonts w:ascii="Times New Roman" w:hAnsi="Times New Roman" w:cs="Times New Roman"/>
        </w:rPr>
        <w:t>, Συλλογή 2001, σελ. ΙΙ-3413, παρ. 51.</w:t>
      </w:r>
    </w:p>
  </w:footnote>
  <w:footnote w:id="68">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w:t>
      </w:r>
      <w:r w:rsidRPr="001C2BED">
        <w:rPr>
          <w:rFonts w:ascii="Times New Roman" w:hAnsi="Times New Roman" w:cs="Times New Roman"/>
          <w:lang w:val="de-DE"/>
        </w:rPr>
        <w:t>T</w:t>
      </w:r>
      <w:r w:rsidRPr="001C2BED">
        <w:rPr>
          <w:rFonts w:ascii="Times New Roman" w:hAnsi="Times New Roman" w:cs="Times New Roman"/>
        </w:rPr>
        <w:t xml:space="preserve">-30/89, </w:t>
      </w:r>
      <w:r w:rsidRPr="001C2BED">
        <w:rPr>
          <w:rFonts w:ascii="Times New Roman" w:hAnsi="Times New Roman" w:cs="Times New Roman"/>
          <w:i/>
          <w:lang w:val="de-DE"/>
        </w:rPr>
        <w:t>Hilti</w:t>
      </w:r>
      <w:r w:rsidRPr="001C2BED">
        <w:rPr>
          <w:rFonts w:ascii="Times New Roman" w:hAnsi="Times New Roman" w:cs="Times New Roman"/>
        </w:rPr>
        <w:t xml:space="preserve">, Συλλογή 1991, σελ. ΙΙ-1439, παρ. 92· ΠΕΚ Τ-66/01, </w:t>
      </w:r>
      <w:r w:rsidRPr="001C2BED">
        <w:rPr>
          <w:rFonts w:ascii="Times New Roman" w:hAnsi="Times New Roman" w:cs="Times New Roman"/>
          <w:i/>
          <w:lang w:val="en-US"/>
        </w:rPr>
        <w:t>ICI</w:t>
      </w:r>
      <w:r w:rsidRPr="001C2BED">
        <w:rPr>
          <w:rFonts w:ascii="Times New Roman" w:hAnsi="Times New Roman" w:cs="Times New Roman"/>
        </w:rPr>
        <w:t xml:space="preserve">, Συλλογή 2010, σελ. ΙΙ-2631, παρ. 257· ΠΕΚ Τ-336/07, </w:t>
      </w:r>
      <w:proofErr w:type="spellStart"/>
      <w:r w:rsidRPr="001C2BED">
        <w:rPr>
          <w:rFonts w:ascii="Times New Roman" w:hAnsi="Times New Roman" w:cs="Times New Roman"/>
          <w:i/>
          <w:lang w:val="en-US"/>
        </w:rPr>
        <w:t>Telef</w:t>
      </w:r>
      <w:proofErr w:type="spellEnd"/>
      <w:r w:rsidRPr="001C2BED">
        <w:rPr>
          <w:rFonts w:ascii="Times New Roman" w:hAnsi="Times New Roman" w:cs="Times New Roman"/>
          <w:i/>
        </w:rPr>
        <w:t>ó</w:t>
      </w:r>
      <w:proofErr w:type="spellStart"/>
      <w:r w:rsidRPr="001C2BED">
        <w:rPr>
          <w:rFonts w:ascii="Times New Roman" w:hAnsi="Times New Roman" w:cs="Times New Roman"/>
          <w:i/>
          <w:lang w:val="en-US"/>
        </w:rPr>
        <w:t>nica</w:t>
      </w:r>
      <w:proofErr w:type="spellEnd"/>
      <w:r w:rsidRPr="001C2BED">
        <w:rPr>
          <w:rFonts w:ascii="Times New Roman" w:hAnsi="Times New Roman" w:cs="Times New Roman"/>
        </w:rPr>
        <w:t>, της 29/03/2012, παρ. 150.</w:t>
      </w:r>
    </w:p>
  </w:footnote>
  <w:footnote w:id="69">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 xml:space="preserve">-62/86, </w:t>
      </w:r>
      <w:proofErr w:type="spellStart"/>
      <w:r w:rsidRPr="001C2BED">
        <w:rPr>
          <w:rFonts w:ascii="Times New Roman" w:hAnsi="Times New Roman" w:cs="Times New Roman"/>
          <w:i/>
          <w:lang w:val="en-US"/>
        </w:rPr>
        <w:t>AKZOChemie</w:t>
      </w:r>
      <w:proofErr w:type="spellEnd"/>
      <w:r w:rsidRPr="001C2BED">
        <w:rPr>
          <w:rFonts w:ascii="Times New Roman" w:hAnsi="Times New Roman" w:cs="Times New Roman"/>
        </w:rPr>
        <w:t xml:space="preserve">, Συλλογή 1991, σελ. Ι-3359, παρ. 60· ΠΕΚ Τ-66/01, </w:t>
      </w:r>
      <w:r w:rsidRPr="001C2BED">
        <w:rPr>
          <w:rFonts w:ascii="Times New Roman" w:hAnsi="Times New Roman" w:cs="Times New Roman"/>
          <w:i/>
          <w:lang w:val="en-US"/>
        </w:rPr>
        <w:t>ICI</w:t>
      </w:r>
      <w:r w:rsidRPr="001C2BED">
        <w:rPr>
          <w:rFonts w:ascii="Times New Roman" w:hAnsi="Times New Roman" w:cs="Times New Roman"/>
        </w:rPr>
        <w:t>, Συλλογή 2010, σελ. ΙΙ</w:t>
      </w:r>
      <w:r w:rsidRPr="001C2BED">
        <w:rPr>
          <w:rFonts w:ascii="Times New Roman" w:hAnsi="Times New Roman" w:cs="Times New Roman"/>
          <w:lang w:val="en-US"/>
        </w:rPr>
        <w:t xml:space="preserve">-2631, </w:t>
      </w:r>
      <w:r w:rsidRPr="001C2BED">
        <w:rPr>
          <w:rFonts w:ascii="Times New Roman" w:hAnsi="Times New Roman" w:cs="Times New Roman"/>
        </w:rPr>
        <w:t>παρ</w:t>
      </w:r>
      <w:r w:rsidRPr="001C2BED">
        <w:rPr>
          <w:rFonts w:ascii="Times New Roman" w:hAnsi="Times New Roman" w:cs="Times New Roman"/>
          <w:lang w:val="en-US"/>
        </w:rPr>
        <w:t>. 256.</w:t>
      </w:r>
    </w:p>
  </w:footnote>
  <w:footnote w:id="70">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r w:rsidRPr="001C2BED">
        <w:rPr>
          <w:rFonts w:ascii="Times New Roman" w:hAnsi="Times New Roman" w:cs="Times New Roman"/>
          <w:lang w:val="en-US"/>
        </w:rPr>
        <w:t xml:space="preserve"> Guidance on the Commission’s Enforcement Priorities in Applying Article 82 of the EC Treaty to Abusive Exclusionary Conduct by Dominant Undertakings, OJ C 45, 24/02/2009, http://ec.europa.eu/transparency/regdoc/rep/3/2009/EL/3-2009-864-EL-F-0.Pdf</w:t>
      </w:r>
    </w:p>
  </w:footnote>
  <w:footnote w:id="71">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r w:rsidRPr="001C2BED">
        <w:rPr>
          <w:rFonts w:ascii="Times New Roman" w:hAnsi="Times New Roman" w:cs="Times New Roman"/>
        </w:rPr>
        <w:t>ΔΕΚ</w:t>
      </w:r>
      <w:r w:rsidRPr="001C2BED">
        <w:rPr>
          <w:rFonts w:ascii="Times New Roman" w:hAnsi="Times New Roman" w:cs="Times New Roman"/>
          <w:lang w:val="en-US"/>
        </w:rPr>
        <w:t xml:space="preserve"> C-85/76, </w:t>
      </w:r>
      <w:r w:rsidRPr="001C2BED">
        <w:rPr>
          <w:rFonts w:ascii="Times New Roman" w:hAnsi="Times New Roman" w:cs="Times New Roman"/>
          <w:i/>
          <w:lang w:val="en-US"/>
        </w:rPr>
        <w:t>Hoffmann-La Roche</w:t>
      </w:r>
      <w:r w:rsidRPr="001C2BED">
        <w:rPr>
          <w:rFonts w:ascii="Times New Roman" w:hAnsi="Times New Roman" w:cs="Times New Roman"/>
          <w:lang w:val="en-US"/>
        </w:rPr>
        <w:t xml:space="preserve">, </w:t>
      </w:r>
      <w:r w:rsidRPr="001C2BED">
        <w:rPr>
          <w:rFonts w:ascii="Times New Roman" w:hAnsi="Times New Roman" w:cs="Times New Roman"/>
        </w:rPr>
        <w:t>Συλλογή</w:t>
      </w:r>
      <w:r w:rsidRPr="001C2BED">
        <w:rPr>
          <w:rFonts w:ascii="Times New Roman" w:hAnsi="Times New Roman" w:cs="Times New Roman"/>
          <w:lang w:val="en-US"/>
        </w:rPr>
        <w:t xml:space="preserve"> 1979, </w:t>
      </w:r>
      <w:r w:rsidRPr="001C2BED">
        <w:rPr>
          <w:rFonts w:ascii="Times New Roman" w:hAnsi="Times New Roman" w:cs="Times New Roman"/>
        </w:rPr>
        <w:t>σελ</w:t>
      </w:r>
      <w:r w:rsidRPr="001C2BED">
        <w:rPr>
          <w:rFonts w:ascii="Times New Roman" w:hAnsi="Times New Roman" w:cs="Times New Roman"/>
          <w:lang w:val="en-US"/>
        </w:rPr>
        <w:t xml:space="preserve">. </w:t>
      </w:r>
      <w:proofErr w:type="gramStart"/>
      <w:r w:rsidRPr="001C2BED">
        <w:rPr>
          <w:rFonts w:ascii="Times New Roman" w:hAnsi="Times New Roman" w:cs="Times New Roman"/>
          <w:lang w:val="en-US"/>
        </w:rPr>
        <w:t xml:space="preserve">461, </w:t>
      </w:r>
      <w:r w:rsidRPr="001C2BED">
        <w:rPr>
          <w:rFonts w:ascii="Times New Roman" w:hAnsi="Times New Roman" w:cs="Times New Roman"/>
        </w:rPr>
        <w:t>παρ</w:t>
      </w:r>
      <w:r w:rsidRPr="001C2BED">
        <w:rPr>
          <w:rFonts w:ascii="Times New Roman" w:hAnsi="Times New Roman" w:cs="Times New Roman"/>
          <w:lang w:val="en-US"/>
        </w:rPr>
        <w:t>.</w:t>
      </w:r>
      <w:proofErr w:type="gramEnd"/>
      <w:r w:rsidRPr="001C2BED">
        <w:rPr>
          <w:rFonts w:ascii="Times New Roman" w:hAnsi="Times New Roman" w:cs="Times New Roman"/>
          <w:lang w:val="en-US"/>
        </w:rPr>
        <w:t xml:space="preserve"> 48.</w:t>
      </w:r>
    </w:p>
  </w:footnote>
  <w:footnote w:id="72">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ΓενΔικ</w:t>
      </w:r>
      <w:r w:rsidRPr="001C2BED">
        <w:rPr>
          <w:rFonts w:ascii="Times New Roman" w:hAnsi="Times New Roman" w:cs="Times New Roman"/>
          <w:lang w:val="en-US"/>
        </w:rPr>
        <w:t xml:space="preserve"> T-321/05, </w:t>
      </w:r>
      <w:r w:rsidRPr="001C2BED">
        <w:rPr>
          <w:rFonts w:ascii="Times New Roman" w:hAnsi="Times New Roman" w:cs="Times New Roman"/>
          <w:i/>
          <w:lang w:val="en-US"/>
        </w:rPr>
        <w:t>AstraZeneca</w:t>
      </w:r>
      <w:r w:rsidRPr="001C2BED">
        <w:rPr>
          <w:rFonts w:ascii="Times New Roman" w:hAnsi="Times New Roman" w:cs="Times New Roman"/>
          <w:lang w:val="en-US"/>
        </w:rPr>
        <w:t xml:space="preserve">, </w:t>
      </w:r>
      <w:r w:rsidRPr="001C2BED">
        <w:rPr>
          <w:rFonts w:ascii="Times New Roman" w:hAnsi="Times New Roman" w:cs="Times New Roman"/>
        </w:rPr>
        <w:t>Συλλογή</w:t>
      </w:r>
      <w:r w:rsidRPr="001C2BED">
        <w:rPr>
          <w:rFonts w:ascii="Times New Roman" w:hAnsi="Times New Roman" w:cs="Times New Roman"/>
          <w:lang w:val="en-US"/>
        </w:rPr>
        <w:t xml:space="preserve"> 2010, </w:t>
      </w:r>
      <w:r w:rsidRPr="001C2BED">
        <w:rPr>
          <w:rFonts w:ascii="Times New Roman" w:hAnsi="Times New Roman" w:cs="Times New Roman"/>
        </w:rPr>
        <w:t>σελ</w:t>
      </w:r>
      <w:r w:rsidRPr="001C2BED">
        <w:rPr>
          <w:rFonts w:ascii="Times New Roman" w:hAnsi="Times New Roman" w:cs="Times New Roman"/>
          <w:lang w:val="en-US"/>
        </w:rPr>
        <w:t xml:space="preserve">. </w:t>
      </w:r>
      <w:r w:rsidRPr="001C2BED">
        <w:rPr>
          <w:rFonts w:ascii="Times New Roman" w:hAnsi="Times New Roman" w:cs="Times New Roman"/>
        </w:rPr>
        <w:t>ΙΙ-2805, παρ. 241-294. Η απόφαση επικυρώθηκε καθ’ ολοκληρία από το Δικαστήριο (</w:t>
      </w:r>
      <w:r w:rsidRPr="001C2BED">
        <w:rPr>
          <w:rFonts w:ascii="Times New Roman" w:hAnsi="Times New Roman" w:cs="Times New Roman"/>
          <w:lang w:val="en-US"/>
        </w:rPr>
        <w:t>C</w:t>
      </w:r>
      <w:r w:rsidRPr="001C2BED">
        <w:rPr>
          <w:rFonts w:ascii="Times New Roman" w:hAnsi="Times New Roman" w:cs="Times New Roman"/>
        </w:rPr>
        <w:t>-457/10</w:t>
      </w:r>
      <w:r w:rsidRPr="001C2BED">
        <w:rPr>
          <w:rFonts w:ascii="Times New Roman" w:hAnsi="Times New Roman" w:cs="Times New Roman"/>
          <w:lang w:val="en-US"/>
        </w:rPr>
        <w:t>P</w:t>
      </w:r>
      <w:r w:rsidRPr="001C2BED">
        <w:rPr>
          <w:rFonts w:ascii="Times New Roman" w:hAnsi="Times New Roman" w:cs="Times New Roman"/>
        </w:rPr>
        <w:t xml:space="preserve">, </w:t>
      </w:r>
      <w:r w:rsidRPr="001C2BED">
        <w:rPr>
          <w:rFonts w:ascii="Times New Roman" w:hAnsi="Times New Roman" w:cs="Times New Roman"/>
          <w:i/>
          <w:lang w:val="en-US"/>
        </w:rPr>
        <w:t>AstraZeneca</w:t>
      </w:r>
      <w:r w:rsidRPr="001C2BED">
        <w:rPr>
          <w:rFonts w:ascii="Times New Roman" w:hAnsi="Times New Roman" w:cs="Times New Roman"/>
        </w:rPr>
        <w:t xml:space="preserve">, της 06.12.2012) </w:t>
      </w:r>
    </w:p>
  </w:footnote>
  <w:footnote w:id="73">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w:t>
      </w:r>
      <w:r w:rsidRPr="001C2BED">
        <w:rPr>
          <w:rFonts w:ascii="Times New Roman" w:hAnsi="Times New Roman" w:cs="Times New Roman"/>
          <w:lang w:val="de-DE"/>
        </w:rPr>
        <w:t>T</w:t>
      </w:r>
      <w:r w:rsidRPr="001C2BED">
        <w:rPr>
          <w:rFonts w:ascii="Times New Roman" w:hAnsi="Times New Roman" w:cs="Times New Roman"/>
        </w:rPr>
        <w:t xml:space="preserve">-30/89, </w:t>
      </w:r>
      <w:r w:rsidRPr="001C2BED">
        <w:rPr>
          <w:rFonts w:ascii="Times New Roman" w:hAnsi="Times New Roman" w:cs="Times New Roman"/>
          <w:i/>
          <w:lang w:val="de-DE"/>
        </w:rPr>
        <w:t>Hilti</w:t>
      </w:r>
      <w:r w:rsidRPr="001C2BED">
        <w:rPr>
          <w:rFonts w:ascii="Times New Roman" w:hAnsi="Times New Roman" w:cs="Times New Roman"/>
        </w:rPr>
        <w:t>, Συλλογή 1991, σελ. ΙΙ-1439, παρ. 93.</w:t>
      </w:r>
    </w:p>
  </w:footnote>
  <w:footnote w:id="74">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lang w:val="en-US"/>
        </w:rPr>
        <w:t>Ibid</w:t>
      </w:r>
      <w:r w:rsidRPr="001C2BED">
        <w:rPr>
          <w:rFonts w:ascii="Times New Roman" w:hAnsi="Times New Roman" w:cs="Times New Roman"/>
        </w:rPr>
        <w:t>.</w:t>
      </w:r>
    </w:p>
  </w:footnote>
  <w:footnote w:id="75">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Τ-336/07, </w:t>
      </w:r>
      <w:proofErr w:type="spellStart"/>
      <w:r w:rsidRPr="001C2BED">
        <w:rPr>
          <w:rFonts w:ascii="Times New Roman" w:hAnsi="Times New Roman" w:cs="Times New Roman"/>
          <w:i/>
          <w:lang w:val="en-US"/>
        </w:rPr>
        <w:t>Telef</w:t>
      </w:r>
      <w:proofErr w:type="spellEnd"/>
      <w:r w:rsidRPr="001C2BED">
        <w:rPr>
          <w:rFonts w:ascii="Times New Roman" w:hAnsi="Times New Roman" w:cs="Times New Roman"/>
          <w:i/>
        </w:rPr>
        <w:t>ó</w:t>
      </w:r>
      <w:proofErr w:type="spellStart"/>
      <w:r w:rsidRPr="001C2BED">
        <w:rPr>
          <w:rFonts w:ascii="Times New Roman" w:hAnsi="Times New Roman" w:cs="Times New Roman"/>
          <w:i/>
          <w:lang w:val="en-US"/>
        </w:rPr>
        <w:t>nica</w:t>
      </w:r>
      <w:proofErr w:type="spellEnd"/>
      <w:r w:rsidRPr="001C2BED">
        <w:rPr>
          <w:rFonts w:ascii="Times New Roman" w:hAnsi="Times New Roman" w:cs="Times New Roman"/>
        </w:rPr>
        <w:t>, της 29/03/2012, παρ. 162.</w:t>
      </w:r>
    </w:p>
  </w:footnote>
  <w:footnote w:id="76">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Τ-229/94, </w:t>
      </w:r>
      <w:r w:rsidRPr="001C2BED">
        <w:rPr>
          <w:rFonts w:ascii="Times New Roman" w:hAnsi="Times New Roman" w:cs="Times New Roman"/>
          <w:i/>
          <w:lang w:val="de-DE"/>
        </w:rPr>
        <w:t>DeutscheBahn</w:t>
      </w:r>
      <w:r w:rsidRPr="001C2BED">
        <w:rPr>
          <w:rFonts w:ascii="Times New Roman" w:hAnsi="Times New Roman" w:cs="Times New Roman"/>
        </w:rPr>
        <w:t>, Συλλογή 1997, σελ. ΙΙ-1689, παρ. 57.</w:t>
      </w:r>
    </w:p>
  </w:footnote>
  <w:footnote w:id="77">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lang w:val="de-DE"/>
        </w:rPr>
        <w:t>Ibid</w:t>
      </w:r>
      <w:r w:rsidRPr="001C2BED">
        <w:rPr>
          <w:rFonts w:ascii="Times New Roman" w:hAnsi="Times New Roman" w:cs="Times New Roman"/>
        </w:rPr>
        <w:t>.</w:t>
      </w:r>
    </w:p>
  </w:footnote>
  <w:footnote w:id="78">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w:t>
      </w:r>
      <w:r w:rsidRPr="001C2BED">
        <w:rPr>
          <w:rFonts w:ascii="Times New Roman" w:hAnsi="Times New Roman" w:cs="Times New Roman"/>
        </w:rPr>
        <w:t xml:space="preserve">Τ-128/98, </w:t>
      </w:r>
      <w:r w:rsidRPr="001C2BED">
        <w:rPr>
          <w:rFonts w:ascii="Times New Roman" w:hAnsi="Times New Roman" w:cs="Times New Roman"/>
          <w:i/>
          <w:lang w:val="de-DE"/>
        </w:rPr>
        <w:t>A</w:t>
      </w:r>
      <w:r w:rsidRPr="001C2BED">
        <w:rPr>
          <w:rFonts w:ascii="Times New Roman" w:hAnsi="Times New Roman" w:cs="Times New Roman"/>
          <w:i/>
        </w:rPr>
        <w:t>é</w:t>
      </w:r>
      <w:r w:rsidRPr="001C2BED">
        <w:rPr>
          <w:rFonts w:ascii="Times New Roman" w:hAnsi="Times New Roman" w:cs="Times New Roman"/>
          <w:i/>
          <w:lang w:val="de-DE"/>
        </w:rPr>
        <w:t>roportsdeParis</w:t>
      </w:r>
      <w:r w:rsidRPr="001C2BED">
        <w:rPr>
          <w:rFonts w:ascii="Times New Roman" w:hAnsi="Times New Roman" w:cs="Times New Roman"/>
        </w:rPr>
        <w:t xml:space="preserve">, Συλλογή 2000, σελ. </w:t>
      </w:r>
      <w:r w:rsidRPr="001C2BED">
        <w:rPr>
          <w:rFonts w:ascii="Times New Roman" w:hAnsi="Times New Roman" w:cs="Times New Roman"/>
          <w:lang w:val="fr-FR"/>
        </w:rPr>
        <w:t>II</w:t>
      </w:r>
      <w:r w:rsidRPr="001C2BED">
        <w:rPr>
          <w:rFonts w:ascii="Times New Roman" w:hAnsi="Times New Roman" w:cs="Times New Roman"/>
        </w:rPr>
        <w:t>-3929, παρ. 150.</w:t>
      </w:r>
    </w:p>
  </w:footnote>
  <w:footnote w:id="79">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 xml:space="preserve">-62/86, </w:t>
      </w:r>
      <w:proofErr w:type="spellStart"/>
      <w:r w:rsidRPr="001C2BED">
        <w:rPr>
          <w:rFonts w:ascii="Times New Roman" w:hAnsi="Times New Roman" w:cs="Times New Roman"/>
          <w:i/>
          <w:lang w:val="en-US"/>
        </w:rPr>
        <w:t>AKZOChemie</w:t>
      </w:r>
      <w:proofErr w:type="spellEnd"/>
      <w:r w:rsidRPr="001C2BED">
        <w:rPr>
          <w:rFonts w:ascii="Times New Roman" w:hAnsi="Times New Roman" w:cs="Times New Roman"/>
        </w:rPr>
        <w:t>, Συλλογή 1991, σελ. Ι-3359, παρ. 71.</w:t>
      </w:r>
    </w:p>
  </w:footnote>
  <w:footnote w:id="80">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lang w:val="en-US"/>
        </w:rPr>
        <w:t>Ibid</w:t>
      </w:r>
      <w:r w:rsidRPr="001C2BED">
        <w:rPr>
          <w:rFonts w:ascii="Times New Roman" w:hAnsi="Times New Roman" w:cs="Times New Roman"/>
        </w:rPr>
        <w:t>.</w:t>
      </w:r>
    </w:p>
  </w:footnote>
  <w:footnote w:id="81">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Τ-83/91, </w:t>
      </w:r>
      <w:proofErr w:type="spellStart"/>
      <w:r w:rsidRPr="001C2BED">
        <w:rPr>
          <w:rFonts w:ascii="Times New Roman" w:hAnsi="Times New Roman" w:cs="Times New Roman"/>
          <w:i/>
          <w:lang w:val="fr-FR"/>
        </w:rPr>
        <w:t>TetraPakII</w:t>
      </w:r>
      <w:proofErr w:type="spellEnd"/>
      <w:r w:rsidRPr="001C2BED">
        <w:rPr>
          <w:rFonts w:ascii="Times New Roman" w:hAnsi="Times New Roman" w:cs="Times New Roman"/>
        </w:rPr>
        <w:t>, Συλλογή 1994, σελ. ΙΙ-755, παρ. 148.</w:t>
      </w:r>
    </w:p>
  </w:footnote>
  <w:footnote w:id="82">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-62/86</w:t>
      </w:r>
      <w:proofErr w:type="spellStart"/>
      <w:r w:rsidRPr="001C2BED">
        <w:rPr>
          <w:rFonts w:ascii="Times New Roman" w:hAnsi="Times New Roman" w:cs="Times New Roman"/>
          <w:i/>
          <w:lang w:val="en-US"/>
        </w:rPr>
        <w:t>AKZOChemie</w:t>
      </w:r>
      <w:proofErr w:type="spellEnd"/>
      <w:r w:rsidRPr="001C2BED">
        <w:rPr>
          <w:rFonts w:ascii="Times New Roman" w:hAnsi="Times New Roman" w:cs="Times New Roman"/>
        </w:rPr>
        <w:t>, Συλλογή 1991, σελ. Ι-3359, παρ. 72.</w:t>
      </w:r>
    </w:p>
  </w:footnote>
  <w:footnote w:id="83">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-202/07</w:t>
      </w:r>
      <w:r w:rsidRPr="001C2BED">
        <w:rPr>
          <w:rFonts w:ascii="Times New Roman" w:hAnsi="Times New Roman" w:cs="Times New Roman"/>
          <w:lang w:val="en-US"/>
        </w:rPr>
        <w:t>P</w:t>
      </w:r>
      <w:r w:rsidRPr="001C2BED">
        <w:rPr>
          <w:rFonts w:ascii="Times New Roman" w:hAnsi="Times New Roman" w:cs="Times New Roman"/>
        </w:rPr>
        <w:t xml:space="preserve">, </w:t>
      </w:r>
      <w:proofErr w:type="spellStart"/>
      <w:r w:rsidRPr="001C2BED">
        <w:rPr>
          <w:rFonts w:ascii="Times New Roman" w:hAnsi="Times New Roman" w:cs="Times New Roman"/>
          <w:i/>
          <w:lang w:val="fr-FR"/>
        </w:rPr>
        <w:t>FranceT</w:t>
      </w:r>
      <w:proofErr w:type="spellEnd"/>
      <w:r w:rsidRPr="001C2BED">
        <w:rPr>
          <w:rFonts w:ascii="Times New Roman" w:hAnsi="Times New Roman" w:cs="Times New Roman"/>
          <w:i/>
        </w:rPr>
        <w:t>é</w:t>
      </w:r>
      <w:r w:rsidRPr="001C2BED">
        <w:rPr>
          <w:rFonts w:ascii="Times New Roman" w:hAnsi="Times New Roman" w:cs="Times New Roman"/>
          <w:i/>
          <w:lang w:val="fr-FR"/>
        </w:rPr>
        <w:t>l</w:t>
      </w:r>
      <w:r w:rsidRPr="001C2BED">
        <w:rPr>
          <w:rFonts w:ascii="Times New Roman" w:hAnsi="Times New Roman" w:cs="Times New Roman"/>
          <w:i/>
        </w:rPr>
        <w:t>é</w:t>
      </w:r>
      <w:proofErr w:type="spellStart"/>
      <w:r w:rsidRPr="001C2BED">
        <w:rPr>
          <w:rFonts w:ascii="Times New Roman" w:hAnsi="Times New Roman" w:cs="Times New Roman"/>
          <w:i/>
          <w:lang w:val="fr-FR"/>
        </w:rPr>
        <w:t>com</w:t>
      </w:r>
      <w:proofErr w:type="spellEnd"/>
      <w:r w:rsidRPr="001C2BED">
        <w:rPr>
          <w:rFonts w:ascii="Times New Roman" w:hAnsi="Times New Roman" w:cs="Times New Roman"/>
          <w:i/>
        </w:rPr>
        <w:t xml:space="preserve"> (</w:t>
      </w:r>
      <w:r w:rsidRPr="001C2BED">
        <w:rPr>
          <w:rFonts w:ascii="Times New Roman" w:hAnsi="Times New Roman" w:cs="Times New Roman"/>
          <w:i/>
          <w:lang w:val="fr-FR"/>
        </w:rPr>
        <w:t>Wanadoo</w:t>
      </w:r>
      <w:r w:rsidRPr="001C2BED">
        <w:rPr>
          <w:rFonts w:ascii="Times New Roman" w:hAnsi="Times New Roman" w:cs="Times New Roman"/>
          <w:i/>
        </w:rPr>
        <w:t>)</w:t>
      </w:r>
      <w:r w:rsidRPr="001C2BED">
        <w:rPr>
          <w:rFonts w:ascii="Times New Roman" w:hAnsi="Times New Roman" w:cs="Times New Roman"/>
        </w:rPr>
        <w:t xml:space="preserve">, Συλλογή 2009, σελ. </w:t>
      </w:r>
      <w:proofErr w:type="gramStart"/>
      <w:r w:rsidRPr="001C2BED">
        <w:rPr>
          <w:rFonts w:ascii="Times New Roman" w:hAnsi="Times New Roman" w:cs="Times New Roman"/>
          <w:lang w:val="en-US"/>
        </w:rPr>
        <w:t>I</w:t>
      </w:r>
      <w:r w:rsidRPr="001C2BED">
        <w:rPr>
          <w:rFonts w:ascii="Times New Roman" w:hAnsi="Times New Roman" w:cs="Times New Roman"/>
        </w:rPr>
        <w:t>-2369, παρ.</w:t>
      </w:r>
      <w:proofErr w:type="gramEnd"/>
      <w:r w:rsidRPr="001C2BED">
        <w:rPr>
          <w:rFonts w:ascii="Times New Roman" w:hAnsi="Times New Roman" w:cs="Times New Roman"/>
        </w:rPr>
        <w:t xml:space="preserve"> 111.</w:t>
      </w:r>
    </w:p>
  </w:footnote>
  <w:footnote w:id="84">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Προτάσεις Γενικού Εισαγγελέα </w:t>
      </w:r>
      <w:proofErr w:type="spellStart"/>
      <w:r w:rsidRPr="001C2BED">
        <w:rPr>
          <w:rFonts w:ascii="Times New Roman" w:hAnsi="Times New Roman" w:cs="Times New Roman"/>
          <w:lang w:val="en-US"/>
        </w:rPr>
        <w:t>Mazak</w:t>
      </w:r>
      <w:proofErr w:type="spellEnd"/>
      <w:r w:rsidRPr="001C2BED">
        <w:rPr>
          <w:rFonts w:ascii="Times New Roman" w:hAnsi="Times New Roman" w:cs="Times New Roman"/>
        </w:rPr>
        <w:t xml:space="preserve"> στην υπόθεση ΔΕΚ </w:t>
      </w:r>
      <w:r w:rsidRPr="001C2BED">
        <w:rPr>
          <w:rFonts w:ascii="Times New Roman" w:hAnsi="Times New Roman" w:cs="Times New Roman"/>
          <w:lang w:val="en-US"/>
        </w:rPr>
        <w:t>C</w:t>
      </w:r>
      <w:r w:rsidRPr="001C2BED">
        <w:rPr>
          <w:rFonts w:ascii="Times New Roman" w:hAnsi="Times New Roman" w:cs="Times New Roman"/>
        </w:rPr>
        <w:t>-202/07</w:t>
      </w:r>
      <w:r w:rsidRPr="001C2BED">
        <w:rPr>
          <w:rFonts w:ascii="Times New Roman" w:hAnsi="Times New Roman" w:cs="Times New Roman"/>
          <w:lang w:val="en-US"/>
        </w:rPr>
        <w:t>P</w:t>
      </w:r>
      <w:r w:rsidRPr="001C2BED">
        <w:rPr>
          <w:rFonts w:ascii="Times New Roman" w:hAnsi="Times New Roman" w:cs="Times New Roman"/>
        </w:rPr>
        <w:t xml:space="preserve">, </w:t>
      </w:r>
      <w:proofErr w:type="spellStart"/>
      <w:r w:rsidRPr="001C2BED">
        <w:rPr>
          <w:rFonts w:ascii="Times New Roman" w:hAnsi="Times New Roman" w:cs="Times New Roman"/>
          <w:i/>
          <w:lang w:val="fr-FR"/>
        </w:rPr>
        <w:t>FranceT</w:t>
      </w:r>
      <w:proofErr w:type="spellEnd"/>
      <w:r w:rsidRPr="001C2BED">
        <w:rPr>
          <w:rFonts w:ascii="Times New Roman" w:hAnsi="Times New Roman" w:cs="Times New Roman"/>
          <w:i/>
        </w:rPr>
        <w:t>é</w:t>
      </w:r>
      <w:r w:rsidRPr="001C2BED">
        <w:rPr>
          <w:rFonts w:ascii="Times New Roman" w:hAnsi="Times New Roman" w:cs="Times New Roman"/>
          <w:i/>
          <w:lang w:val="fr-FR"/>
        </w:rPr>
        <w:t>l</w:t>
      </w:r>
      <w:r w:rsidRPr="001C2BED">
        <w:rPr>
          <w:rFonts w:ascii="Times New Roman" w:hAnsi="Times New Roman" w:cs="Times New Roman"/>
          <w:i/>
        </w:rPr>
        <w:t>é</w:t>
      </w:r>
      <w:proofErr w:type="spellStart"/>
      <w:r w:rsidRPr="001C2BED">
        <w:rPr>
          <w:rFonts w:ascii="Times New Roman" w:hAnsi="Times New Roman" w:cs="Times New Roman"/>
          <w:i/>
          <w:lang w:val="fr-FR"/>
        </w:rPr>
        <w:t>com</w:t>
      </w:r>
      <w:proofErr w:type="spellEnd"/>
      <w:r w:rsidRPr="001C2BED">
        <w:rPr>
          <w:rFonts w:ascii="Times New Roman" w:hAnsi="Times New Roman" w:cs="Times New Roman"/>
          <w:i/>
        </w:rPr>
        <w:t xml:space="preserve"> (</w:t>
      </w:r>
      <w:r w:rsidRPr="001C2BED">
        <w:rPr>
          <w:rFonts w:ascii="Times New Roman" w:hAnsi="Times New Roman" w:cs="Times New Roman"/>
          <w:i/>
          <w:lang w:val="fr-FR"/>
        </w:rPr>
        <w:t>Wanadoo</w:t>
      </w:r>
      <w:r w:rsidRPr="001C2BED">
        <w:rPr>
          <w:rFonts w:ascii="Times New Roman" w:hAnsi="Times New Roman" w:cs="Times New Roman"/>
          <w:i/>
        </w:rPr>
        <w:t>)</w:t>
      </w:r>
      <w:r w:rsidRPr="001C2BED">
        <w:rPr>
          <w:rFonts w:ascii="Times New Roman" w:hAnsi="Times New Roman" w:cs="Times New Roman"/>
        </w:rPr>
        <w:t xml:space="preserve">, Συλλογή 2009, σελ. </w:t>
      </w:r>
      <w:proofErr w:type="gramStart"/>
      <w:r w:rsidRPr="001C2BED">
        <w:rPr>
          <w:rFonts w:ascii="Times New Roman" w:hAnsi="Times New Roman" w:cs="Times New Roman"/>
          <w:lang w:val="en-US"/>
        </w:rPr>
        <w:t>I</w:t>
      </w:r>
      <w:r w:rsidRPr="001C2BED">
        <w:rPr>
          <w:rFonts w:ascii="Times New Roman" w:hAnsi="Times New Roman" w:cs="Times New Roman"/>
        </w:rPr>
        <w:t>-2369, σημεία 68-78.</w:t>
      </w:r>
      <w:proofErr w:type="gramEnd"/>
    </w:p>
  </w:footnote>
  <w:footnote w:id="85">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 xml:space="preserve">-62/86, </w:t>
      </w:r>
      <w:proofErr w:type="spellStart"/>
      <w:r w:rsidRPr="001C2BED">
        <w:rPr>
          <w:rFonts w:ascii="Times New Roman" w:hAnsi="Times New Roman" w:cs="Times New Roman"/>
          <w:i/>
          <w:lang w:val="en-US"/>
        </w:rPr>
        <w:t>AKZOChemie</w:t>
      </w:r>
      <w:proofErr w:type="spellEnd"/>
      <w:r w:rsidRPr="001C2BED">
        <w:rPr>
          <w:rFonts w:ascii="Times New Roman" w:hAnsi="Times New Roman" w:cs="Times New Roman"/>
        </w:rPr>
        <w:t xml:space="preserve">, Συλλογή 1991, σελ. Ι-3359, παρ. 72, 140 &amp; 146· ΠΕΚ Τ-83/91, </w:t>
      </w:r>
      <w:proofErr w:type="spellStart"/>
      <w:r w:rsidRPr="001C2BED">
        <w:rPr>
          <w:rFonts w:ascii="Times New Roman" w:hAnsi="Times New Roman" w:cs="Times New Roman"/>
          <w:i/>
          <w:lang w:val="fr-FR"/>
        </w:rPr>
        <w:t>TetraPakII</w:t>
      </w:r>
      <w:proofErr w:type="spellEnd"/>
      <w:r w:rsidRPr="001C2BED">
        <w:rPr>
          <w:rFonts w:ascii="Times New Roman" w:hAnsi="Times New Roman" w:cs="Times New Roman"/>
        </w:rPr>
        <w:t>, Συλλογή 1994, σελ. ΙΙ-755, παρ. 149.</w:t>
      </w:r>
    </w:p>
  </w:footnote>
  <w:footnote w:id="86">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w:t>
      </w:r>
      <w:r w:rsidRPr="001C2BED">
        <w:rPr>
          <w:rFonts w:ascii="Times New Roman" w:hAnsi="Times New Roman" w:cs="Times New Roman"/>
          <w:lang w:val="fr-FR"/>
        </w:rPr>
        <w:t>T</w:t>
      </w:r>
      <w:r w:rsidRPr="001C2BED">
        <w:rPr>
          <w:rFonts w:ascii="Times New Roman" w:hAnsi="Times New Roman" w:cs="Times New Roman"/>
        </w:rPr>
        <w:t xml:space="preserve">-340/03, </w:t>
      </w:r>
      <w:r w:rsidRPr="001C2BED">
        <w:rPr>
          <w:rFonts w:ascii="Times New Roman" w:hAnsi="Times New Roman" w:cs="Times New Roman"/>
          <w:i/>
          <w:lang w:val="fr-FR"/>
        </w:rPr>
        <w:t>FranceT</w:t>
      </w:r>
      <w:r w:rsidRPr="001C2BED">
        <w:rPr>
          <w:rFonts w:ascii="Times New Roman" w:hAnsi="Times New Roman" w:cs="Times New Roman"/>
          <w:i/>
        </w:rPr>
        <w:t>é</w:t>
      </w:r>
      <w:r w:rsidRPr="001C2BED">
        <w:rPr>
          <w:rFonts w:ascii="Times New Roman" w:hAnsi="Times New Roman" w:cs="Times New Roman"/>
          <w:i/>
          <w:lang w:val="fr-FR"/>
        </w:rPr>
        <w:t>l</w:t>
      </w:r>
      <w:r w:rsidRPr="001C2BED">
        <w:rPr>
          <w:rFonts w:ascii="Times New Roman" w:hAnsi="Times New Roman" w:cs="Times New Roman"/>
          <w:i/>
        </w:rPr>
        <w:t>é</w:t>
      </w:r>
      <w:r w:rsidRPr="001C2BED">
        <w:rPr>
          <w:rFonts w:ascii="Times New Roman" w:hAnsi="Times New Roman" w:cs="Times New Roman"/>
          <w:i/>
          <w:lang w:val="fr-FR"/>
        </w:rPr>
        <w:t>com</w:t>
      </w:r>
      <w:r w:rsidRPr="001C2BED">
        <w:rPr>
          <w:rFonts w:ascii="Times New Roman" w:hAnsi="Times New Roman" w:cs="Times New Roman"/>
          <w:i/>
        </w:rPr>
        <w:t xml:space="preserve"> (</w:t>
      </w:r>
      <w:r w:rsidRPr="001C2BED">
        <w:rPr>
          <w:rFonts w:ascii="Times New Roman" w:hAnsi="Times New Roman" w:cs="Times New Roman"/>
          <w:i/>
          <w:lang w:val="fr-FR"/>
        </w:rPr>
        <w:t>Wanadoo</w:t>
      </w:r>
      <w:r w:rsidRPr="001C2BED">
        <w:rPr>
          <w:rFonts w:ascii="Times New Roman" w:hAnsi="Times New Roman" w:cs="Times New Roman"/>
          <w:i/>
        </w:rPr>
        <w:t>)</w:t>
      </w:r>
      <w:r w:rsidRPr="001C2BED">
        <w:rPr>
          <w:rFonts w:ascii="Times New Roman" w:hAnsi="Times New Roman" w:cs="Times New Roman"/>
        </w:rPr>
        <w:t xml:space="preserve">, Συλλογή 2007, σελ. </w:t>
      </w:r>
      <w:r w:rsidRPr="001C2BED">
        <w:rPr>
          <w:rFonts w:ascii="Times New Roman" w:hAnsi="Times New Roman" w:cs="Times New Roman"/>
          <w:lang w:val="fr-FR"/>
        </w:rPr>
        <w:t>II</w:t>
      </w:r>
      <w:r w:rsidRPr="001C2BED">
        <w:rPr>
          <w:rFonts w:ascii="Times New Roman" w:hAnsi="Times New Roman" w:cs="Times New Roman"/>
        </w:rPr>
        <w:t>-107, παρ. 217.</w:t>
      </w:r>
    </w:p>
  </w:footnote>
  <w:footnote w:id="87">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 xml:space="preserve">-62/86, </w:t>
      </w:r>
      <w:proofErr w:type="spellStart"/>
      <w:r w:rsidRPr="001C2BED">
        <w:rPr>
          <w:rFonts w:ascii="Times New Roman" w:hAnsi="Times New Roman" w:cs="Times New Roman"/>
          <w:i/>
          <w:lang w:val="en-US"/>
        </w:rPr>
        <w:t>AKZOChemie</w:t>
      </w:r>
      <w:proofErr w:type="spellEnd"/>
      <w:r w:rsidRPr="001C2BED">
        <w:rPr>
          <w:rFonts w:ascii="Times New Roman" w:hAnsi="Times New Roman" w:cs="Times New Roman"/>
        </w:rPr>
        <w:t>, Συλλογή 1991, σελ. Ι-3359, παρ. 74.</w:t>
      </w:r>
    </w:p>
  </w:footnote>
  <w:footnote w:id="88">
    <w:p w:rsidR="00176031" w:rsidRPr="00405B4E"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Προτάσεις Γενικού Εισαγγελέα </w:t>
      </w:r>
      <w:r w:rsidRPr="001C2BED">
        <w:rPr>
          <w:rFonts w:ascii="Times New Roman" w:hAnsi="Times New Roman" w:cs="Times New Roman"/>
          <w:lang w:val="en-US"/>
        </w:rPr>
        <w:t>Lenz</w:t>
      </w:r>
      <w:r w:rsidRPr="001C2BED">
        <w:rPr>
          <w:rFonts w:ascii="Times New Roman" w:hAnsi="Times New Roman" w:cs="Times New Roman"/>
        </w:rPr>
        <w:t xml:space="preserve"> στην υπόθεση ΔΕΚ </w:t>
      </w:r>
      <w:r w:rsidRPr="001C2BED">
        <w:rPr>
          <w:rFonts w:ascii="Times New Roman" w:hAnsi="Times New Roman" w:cs="Times New Roman"/>
          <w:lang w:val="en-US"/>
        </w:rPr>
        <w:t>C</w:t>
      </w:r>
      <w:r w:rsidRPr="001C2BED">
        <w:rPr>
          <w:rFonts w:ascii="Times New Roman" w:hAnsi="Times New Roman" w:cs="Times New Roman"/>
        </w:rPr>
        <w:t xml:space="preserve">-62/86, </w:t>
      </w:r>
      <w:proofErr w:type="spellStart"/>
      <w:r w:rsidRPr="001C2BED">
        <w:rPr>
          <w:rFonts w:ascii="Times New Roman" w:hAnsi="Times New Roman" w:cs="Times New Roman"/>
          <w:i/>
          <w:lang w:val="en-US"/>
        </w:rPr>
        <w:t>AKZOChemie</w:t>
      </w:r>
      <w:proofErr w:type="spellEnd"/>
      <w:r w:rsidRPr="001C2BED">
        <w:rPr>
          <w:rFonts w:ascii="Times New Roman" w:hAnsi="Times New Roman" w:cs="Times New Roman"/>
        </w:rPr>
        <w:t>, Συλλογή 1991, σελ. Ι</w:t>
      </w:r>
      <w:r w:rsidRPr="00405B4E">
        <w:rPr>
          <w:rFonts w:ascii="Times New Roman" w:hAnsi="Times New Roman" w:cs="Times New Roman"/>
          <w:lang w:val="en-US"/>
        </w:rPr>
        <w:t xml:space="preserve">-3359, </w:t>
      </w:r>
      <w:r w:rsidRPr="001C2BED">
        <w:rPr>
          <w:rFonts w:ascii="Times New Roman" w:hAnsi="Times New Roman" w:cs="Times New Roman"/>
        </w:rPr>
        <w:t>σημείο</w:t>
      </w:r>
      <w:r w:rsidRPr="00405B4E">
        <w:rPr>
          <w:rFonts w:ascii="Times New Roman" w:hAnsi="Times New Roman" w:cs="Times New Roman"/>
          <w:lang w:val="en-US"/>
        </w:rPr>
        <w:t xml:space="preserve"> 34.</w:t>
      </w:r>
    </w:p>
  </w:footnote>
  <w:footnote w:id="89">
    <w:p w:rsidR="00176031" w:rsidRPr="00405B4E"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r w:rsidRPr="001C2BED">
        <w:rPr>
          <w:rFonts w:ascii="Times New Roman" w:hAnsi="Times New Roman" w:cs="Times New Roman"/>
        </w:rPr>
        <w:t>ΔΕΚ</w:t>
      </w:r>
      <w:r w:rsidRPr="00405B4E">
        <w:rPr>
          <w:rFonts w:ascii="Times New Roman" w:hAnsi="Times New Roman" w:cs="Times New Roman"/>
          <w:lang w:val="en-US"/>
        </w:rPr>
        <w:t xml:space="preserve"> </w:t>
      </w:r>
      <w:r w:rsidRPr="001C2BED">
        <w:rPr>
          <w:rFonts w:ascii="Times New Roman" w:hAnsi="Times New Roman" w:cs="Times New Roman"/>
          <w:lang w:val="en-US"/>
        </w:rPr>
        <w:t>C</w:t>
      </w:r>
      <w:r w:rsidRPr="00405B4E">
        <w:rPr>
          <w:rFonts w:ascii="Times New Roman" w:hAnsi="Times New Roman" w:cs="Times New Roman"/>
          <w:lang w:val="en-US"/>
        </w:rPr>
        <w:t xml:space="preserve">-62/86, </w:t>
      </w:r>
      <w:proofErr w:type="spellStart"/>
      <w:r w:rsidRPr="001C2BED">
        <w:rPr>
          <w:rFonts w:ascii="Times New Roman" w:hAnsi="Times New Roman" w:cs="Times New Roman"/>
          <w:i/>
          <w:lang w:val="en-US"/>
        </w:rPr>
        <w:t>AKZOChemie</w:t>
      </w:r>
      <w:proofErr w:type="spellEnd"/>
      <w:r w:rsidRPr="00405B4E">
        <w:rPr>
          <w:rFonts w:ascii="Times New Roman" w:hAnsi="Times New Roman" w:cs="Times New Roman"/>
          <w:lang w:val="en-US"/>
        </w:rPr>
        <w:t xml:space="preserve">, </w:t>
      </w:r>
      <w:r w:rsidRPr="001C2BED">
        <w:rPr>
          <w:rFonts w:ascii="Times New Roman" w:hAnsi="Times New Roman" w:cs="Times New Roman"/>
        </w:rPr>
        <w:t>Συλλογή</w:t>
      </w:r>
      <w:r w:rsidRPr="00405B4E">
        <w:rPr>
          <w:rFonts w:ascii="Times New Roman" w:hAnsi="Times New Roman" w:cs="Times New Roman"/>
          <w:lang w:val="en-US"/>
        </w:rPr>
        <w:t xml:space="preserve"> 1991, </w:t>
      </w:r>
      <w:r w:rsidRPr="001C2BED">
        <w:rPr>
          <w:rFonts w:ascii="Times New Roman" w:hAnsi="Times New Roman" w:cs="Times New Roman"/>
        </w:rPr>
        <w:t>σελ</w:t>
      </w:r>
      <w:r w:rsidRPr="00405B4E">
        <w:rPr>
          <w:rFonts w:ascii="Times New Roman" w:hAnsi="Times New Roman" w:cs="Times New Roman"/>
          <w:lang w:val="en-US"/>
        </w:rPr>
        <w:t xml:space="preserve">. </w:t>
      </w:r>
      <w:r w:rsidRPr="001C2BED">
        <w:rPr>
          <w:rFonts w:ascii="Times New Roman" w:hAnsi="Times New Roman" w:cs="Times New Roman"/>
        </w:rPr>
        <w:t>Ι</w:t>
      </w:r>
      <w:r w:rsidRPr="00405B4E">
        <w:rPr>
          <w:rFonts w:ascii="Times New Roman" w:hAnsi="Times New Roman" w:cs="Times New Roman"/>
          <w:lang w:val="en-US"/>
        </w:rPr>
        <w:t xml:space="preserve">-3359, </w:t>
      </w:r>
      <w:r w:rsidRPr="001C2BED">
        <w:rPr>
          <w:rFonts w:ascii="Times New Roman" w:hAnsi="Times New Roman" w:cs="Times New Roman"/>
        </w:rPr>
        <w:t>παρ</w:t>
      </w:r>
      <w:r w:rsidRPr="00405B4E">
        <w:rPr>
          <w:rFonts w:ascii="Times New Roman" w:hAnsi="Times New Roman" w:cs="Times New Roman"/>
          <w:lang w:val="en-US"/>
        </w:rPr>
        <w:t>. 94.</w:t>
      </w:r>
    </w:p>
  </w:footnote>
  <w:footnote w:id="90">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lang w:val="en-US"/>
        </w:rPr>
        <w:t xml:space="preserve">, </w:t>
      </w:r>
      <w:r w:rsidRPr="001C2BED">
        <w:rPr>
          <w:rFonts w:ascii="Times New Roman" w:hAnsi="Times New Roman" w:cs="Times New Roman"/>
        </w:rPr>
        <w:t>παρ</w:t>
      </w:r>
      <w:r w:rsidRPr="001C2BED">
        <w:rPr>
          <w:rFonts w:ascii="Times New Roman" w:hAnsi="Times New Roman" w:cs="Times New Roman"/>
          <w:lang w:val="en-US"/>
        </w:rPr>
        <w:t>.</w:t>
      </w:r>
      <w:proofErr w:type="gramEnd"/>
      <w:r w:rsidRPr="001C2BED">
        <w:rPr>
          <w:rFonts w:ascii="Times New Roman" w:hAnsi="Times New Roman" w:cs="Times New Roman"/>
          <w:lang w:val="en-US"/>
        </w:rPr>
        <w:t xml:space="preserve"> 95.</w:t>
      </w:r>
    </w:p>
  </w:footnote>
  <w:footnote w:id="91">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r w:rsidRPr="001C2BED">
        <w:rPr>
          <w:rFonts w:ascii="Times New Roman" w:hAnsi="Times New Roman" w:cs="Times New Roman"/>
          <w:lang w:val="en-US"/>
        </w:rPr>
        <w:t xml:space="preserve"> Guidance on the Commission’s Enforcement Priorities in Applying Article 82 of the EC Treaty to Abusive Exclusionary Conduct by Dominant Undertakings, OJ C 45, 24/02/2009, http://ec.europa.eu/transparency/regdoc/rep/3/2009/EL/3-2009-864-EL-F-0.Pdf</w:t>
      </w:r>
    </w:p>
  </w:footnote>
  <w:footnote w:id="92">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lang w:val="en-US"/>
        </w:rPr>
        <w:t xml:space="preserve">, </w:t>
      </w:r>
      <w:r w:rsidRPr="001C2BED">
        <w:rPr>
          <w:rFonts w:ascii="Times New Roman" w:hAnsi="Times New Roman" w:cs="Times New Roman"/>
        </w:rPr>
        <w:t>παρ</w:t>
      </w:r>
      <w:r w:rsidRPr="001C2BED">
        <w:rPr>
          <w:rFonts w:ascii="Times New Roman" w:hAnsi="Times New Roman" w:cs="Times New Roman"/>
          <w:lang w:val="en-US"/>
        </w:rPr>
        <w:t>.26 &amp; 64.</w:t>
      </w:r>
      <w:proofErr w:type="gramEnd"/>
    </w:p>
  </w:footnote>
  <w:footnote w:id="93">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r w:rsidRPr="001C2BED">
        <w:rPr>
          <w:rFonts w:ascii="Times New Roman" w:hAnsi="Times New Roman" w:cs="Times New Roman"/>
        </w:rPr>
        <w:t>ΔΕΚ</w:t>
      </w:r>
      <w:r w:rsidRPr="001C2BED">
        <w:rPr>
          <w:rFonts w:ascii="Times New Roman" w:hAnsi="Times New Roman" w:cs="Times New Roman"/>
          <w:lang w:val="en-US"/>
        </w:rPr>
        <w:t xml:space="preserve"> C-209/10, </w:t>
      </w:r>
      <w:r w:rsidRPr="001C2BED">
        <w:rPr>
          <w:rFonts w:ascii="Times New Roman" w:hAnsi="Times New Roman" w:cs="Times New Roman"/>
          <w:i/>
          <w:lang w:val="en-US"/>
        </w:rPr>
        <w:t xml:space="preserve">Post Danmark, </w:t>
      </w:r>
      <w:r w:rsidRPr="001C2BED">
        <w:rPr>
          <w:rFonts w:ascii="Times New Roman" w:hAnsi="Times New Roman" w:cs="Times New Roman"/>
        </w:rPr>
        <w:t>της</w:t>
      </w:r>
      <w:r w:rsidRPr="001C2BED">
        <w:rPr>
          <w:rFonts w:ascii="Times New Roman" w:hAnsi="Times New Roman" w:cs="Times New Roman"/>
          <w:lang w:val="en-US"/>
        </w:rPr>
        <w:t xml:space="preserve"> 27.03.2012.</w:t>
      </w:r>
    </w:p>
  </w:footnote>
  <w:footnote w:id="94">
    <w:p w:rsidR="00176031" w:rsidRPr="001C2BED" w:rsidRDefault="00176031" w:rsidP="001C2BED">
      <w:pPr>
        <w:pStyle w:val="FootnoteText"/>
        <w:jc w:val="both"/>
        <w:rPr>
          <w:rFonts w:ascii="Times New Roman" w:hAnsi="Times New Roman" w:cs="Times New Roman"/>
          <w:lang w:val="fr-FR"/>
        </w:rPr>
      </w:pPr>
      <w:r w:rsidRPr="001C2BED">
        <w:rPr>
          <w:rStyle w:val="FootnoteReference"/>
          <w:rFonts w:ascii="Times New Roman" w:hAnsi="Times New Roman" w:cs="Times New Roman"/>
        </w:rPr>
        <w:footnoteRef/>
      </w:r>
      <w:proofErr w:type="spellStart"/>
      <w:r w:rsidRPr="001C2BED">
        <w:rPr>
          <w:rFonts w:ascii="Times New Roman" w:hAnsi="Times New Roman" w:cs="Times New Roman"/>
          <w:i/>
          <w:lang w:val="fr-FR"/>
        </w:rPr>
        <w:t>Ibid</w:t>
      </w:r>
      <w:proofErr w:type="spellEnd"/>
      <w:r w:rsidRPr="001C2BED">
        <w:rPr>
          <w:rFonts w:ascii="Times New Roman" w:hAnsi="Times New Roman" w:cs="Times New Roman"/>
          <w:lang w:val="fr-FR"/>
        </w:rPr>
        <w:t xml:space="preserve">, </w:t>
      </w:r>
      <w:r w:rsidRPr="001C2BED">
        <w:rPr>
          <w:rFonts w:ascii="Times New Roman" w:hAnsi="Times New Roman" w:cs="Times New Roman"/>
        </w:rPr>
        <w:t>παρ</w:t>
      </w:r>
      <w:r w:rsidRPr="001C2BED">
        <w:rPr>
          <w:rFonts w:ascii="Times New Roman" w:hAnsi="Times New Roman" w:cs="Times New Roman"/>
          <w:lang w:val="fr-FR"/>
        </w:rPr>
        <w:t>. 38.</w:t>
      </w:r>
    </w:p>
  </w:footnote>
  <w:footnote w:id="95">
    <w:p w:rsidR="00176031" w:rsidRPr="001C2BED" w:rsidRDefault="00176031" w:rsidP="001C2BED">
      <w:pPr>
        <w:pStyle w:val="FootnoteText"/>
        <w:jc w:val="both"/>
        <w:rPr>
          <w:rFonts w:ascii="Times New Roman" w:hAnsi="Times New Roman" w:cs="Times New Roman"/>
          <w:lang w:val="fr-FR"/>
        </w:rPr>
      </w:pPr>
      <w:r w:rsidRPr="001C2BED">
        <w:rPr>
          <w:rStyle w:val="FootnoteReference"/>
          <w:rFonts w:ascii="Times New Roman" w:hAnsi="Times New Roman" w:cs="Times New Roman"/>
        </w:rPr>
        <w:footnoteRef/>
      </w:r>
      <w:r w:rsidRPr="001C2BED">
        <w:rPr>
          <w:rFonts w:ascii="Times New Roman" w:hAnsi="Times New Roman" w:cs="Times New Roman"/>
        </w:rPr>
        <w:t>ΠΕΚ</w:t>
      </w:r>
      <w:r w:rsidRPr="001C2BED">
        <w:rPr>
          <w:rFonts w:ascii="Times New Roman" w:hAnsi="Times New Roman" w:cs="Times New Roman"/>
          <w:lang w:val="fr-FR"/>
        </w:rPr>
        <w:t xml:space="preserve"> T-5/97, </w:t>
      </w:r>
      <w:r w:rsidRPr="001C2BED">
        <w:rPr>
          <w:rFonts w:ascii="Times New Roman" w:hAnsi="Times New Roman" w:cs="Times New Roman"/>
          <w:i/>
          <w:lang w:val="fr-FR"/>
        </w:rPr>
        <w:t>Industrie des Poudres Sphériques</w:t>
      </w:r>
      <w:r w:rsidRPr="001C2BED">
        <w:rPr>
          <w:rFonts w:ascii="Times New Roman" w:hAnsi="Times New Roman" w:cs="Times New Roman"/>
          <w:lang w:val="fr-FR"/>
        </w:rPr>
        <w:t xml:space="preserve">, </w:t>
      </w:r>
      <w:r w:rsidRPr="001C2BED">
        <w:rPr>
          <w:rFonts w:ascii="Times New Roman" w:hAnsi="Times New Roman" w:cs="Times New Roman"/>
        </w:rPr>
        <w:t>Συλλογή</w:t>
      </w:r>
      <w:r w:rsidRPr="001C2BED">
        <w:rPr>
          <w:rFonts w:ascii="Times New Roman" w:hAnsi="Times New Roman" w:cs="Times New Roman"/>
          <w:lang w:val="fr-FR"/>
        </w:rPr>
        <w:t xml:space="preserve"> 2000, </w:t>
      </w:r>
      <w:r w:rsidRPr="001C2BED">
        <w:rPr>
          <w:rFonts w:ascii="Times New Roman" w:hAnsi="Times New Roman" w:cs="Times New Roman"/>
        </w:rPr>
        <w:t>σελ</w:t>
      </w:r>
      <w:r w:rsidRPr="001C2BED">
        <w:rPr>
          <w:rFonts w:ascii="Times New Roman" w:hAnsi="Times New Roman" w:cs="Times New Roman"/>
          <w:lang w:val="fr-FR"/>
        </w:rPr>
        <w:t>. II-3755.</w:t>
      </w:r>
    </w:p>
  </w:footnote>
  <w:footnote w:id="96">
    <w:p w:rsidR="00176031" w:rsidRPr="001C2BED" w:rsidRDefault="00176031" w:rsidP="001C2BED">
      <w:pPr>
        <w:pStyle w:val="FootnoteText"/>
        <w:jc w:val="both"/>
        <w:rPr>
          <w:rFonts w:ascii="Times New Roman" w:hAnsi="Times New Roman" w:cs="Times New Roman"/>
          <w:lang w:val="fr-FR"/>
        </w:rPr>
      </w:pPr>
      <w:r w:rsidRPr="001C2BED">
        <w:rPr>
          <w:rStyle w:val="FootnoteReference"/>
          <w:rFonts w:ascii="Times New Roman" w:hAnsi="Times New Roman" w:cs="Times New Roman"/>
        </w:rPr>
        <w:footnoteRef/>
      </w:r>
      <w:r w:rsidRPr="001C2BED">
        <w:rPr>
          <w:rFonts w:ascii="Times New Roman" w:hAnsi="Times New Roman" w:cs="Times New Roman"/>
          <w:i/>
          <w:lang w:val="fr-FR"/>
        </w:rPr>
        <w:t>Ibid</w:t>
      </w:r>
      <w:r w:rsidRPr="001C2BED">
        <w:rPr>
          <w:rFonts w:ascii="Times New Roman" w:hAnsi="Times New Roman" w:cs="Times New Roman"/>
          <w:lang w:val="fr-FR"/>
        </w:rPr>
        <w:t xml:space="preserve">, </w:t>
      </w:r>
      <w:r w:rsidRPr="001C2BED">
        <w:rPr>
          <w:rFonts w:ascii="Times New Roman" w:hAnsi="Times New Roman" w:cs="Times New Roman"/>
        </w:rPr>
        <w:t>παρ</w:t>
      </w:r>
      <w:r w:rsidRPr="001C2BED">
        <w:rPr>
          <w:rFonts w:ascii="Times New Roman" w:hAnsi="Times New Roman" w:cs="Times New Roman"/>
          <w:lang w:val="fr-FR"/>
        </w:rPr>
        <w:t xml:space="preserve">. 178. </w:t>
      </w:r>
    </w:p>
  </w:footnote>
  <w:footnote w:id="97">
    <w:p w:rsidR="00176031" w:rsidRPr="001C2BED" w:rsidRDefault="00176031" w:rsidP="001C2BED">
      <w:pPr>
        <w:pStyle w:val="FootnoteText"/>
        <w:jc w:val="both"/>
        <w:rPr>
          <w:rFonts w:ascii="Times New Roman" w:hAnsi="Times New Roman" w:cs="Times New Roman"/>
          <w:lang w:val="fr-FR"/>
        </w:rPr>
      </w:pPr>
      <w:r w:rsidRPr="001C2BED">
        <w:rPr>
          <w:rStyle w:val="FootnoteReference"/>
          <w:rFonts w:ascii="Times New Roman" w:hAnsi="Times New Roman" w:cs="Times New Roman"/>
        </w:rPr>
        <w:footnoteRef/>
      </w:r>
      <w:r w:rsidRPr="001C2BED">
        <w:rPr>
          <w:rFonts w:ascii="Times New Roman" w:hAnsi="Times New Roman" w:cs="Times New Roman"/>
          <w:i/>
          <w:lang w:val="fr-FR"/>
        </w:rPr>
        <w:t>Ibid</w:t>
      </w:r>
      <w:r w:rsidRPr="001C2BED">
        <w:rPr>
          <w:rFonts w:ascii="Times New Roman" w:hAnsi="Times New Roman" w:cs="Times New Roman"/>
          <w:lang w:val="fr-FR"/>
        </w:rPr>
        <w:t xml:space="preserve">, </w:t>
      </w:r>
      <w:r w:rsidRPr="001C2BED">
        <w:rPr>
          <w:rFonts w:ascii="Times New Roman" w:hAnsi="Times New Roman" w:cs="Times New Roman"/>
        </w:rPr>
        <w:t>παρ</w:t>
      </w:r>
      <w:r w:rsidRPr="001C2BED">
        <w:rPr>
          <w:rFonts w:ascii="Times New Roman" w:hAnsi="Times New Roman" w:cs="Times New Roman"/>
          <w:lang w:val="fr-FR"/>
        </w:rPr>
        <w:t>. 179.</w:t>
      </w:r>
    </w:p>
  </w:footnote>
  <w:footnote w:id="98">
    <w:p w:rsidR="00176031" w:rsidRPr="001C2BED" w:rsidRDefault="00176031" w:rsidP="001C2BED">
      <w:pPr>
        <w:pStyle w:val="FootnoteText"/>
        <w:jc w:val="both"/>
        <w:rPr>
          <w:rFonts w:ascii="Times New Roman" w:hAnsi="Times New Roman" w:cs="Times New Roman"/>
          <w:lang w:val="fr-FR"/>
        </w:rPr>
      </w:pPr>
      <w:r w:rsidRPr="001C2BED">
        <w:rPr>
          <w:rStyle w:val="FootnoteReference"/>
          <w:rFonts w:ascii="Times New Roman" w:hAnsi="Times New Roman" w:cs="Times New Roman"/>
        </w:rPr>
        <w:footnoteRef/>
      </w:r>
      <w:r w:rsidRPr="001C2BED">
        <w:rPr>
          <w:rFonts w:ascii="Times New Roman" w:hAnsi="Times New Roman" w:cs="Times New Roman"/>
        </w:rPr>
        <w:t>ΔΕΚ</w:t>
      </w:r>
      <w:r w:rsidRPr="001C2BED">
        <w:rPr>
          <w:rFonts w:ascii="Times New Roman" w:hAnsi="Times New Roman" w:cs="Times New Roman"/>
          <w:lang w:val="fr-FR"/>
        </w:rPr>
        <w:t xml:space="preserve"> C-52/09, </w:t>
      </w:r>
      <w:r w:rsidRPr="001C2BED">
        <w:rPr>
          <w:rFonts w:ascii="Times New Roman" w:hAnsi="Times New Roman" w:cs="Times New Roman"/>
          <w:i/>
          <w:lang w:val="fr-FR"/>
        </w:rPr>
        <w:t xml:space="preserve">TeliaSonera, </w:t>
      </w:r>
      <w:r w:rsidRPr="001C2BED">
        <w:rPr>
          <w:rFonts w:ascii="Times New Roman" w:hAnsi="Times New Roman" w:cs="Times New Roman"/>
        </w:rPr>
        <w:t>Συλλογή</w:t>
      </w:r>
      <w:r w:rsidRPr="001C2BED">
        <w:rPr>
          <w:rFonts w:ascii="Times New Roman" w:hAnsi="Times New Roman" w:cs="Times New Roman"/>
          <w:lang w:val="fr-FR"/>
        </w:rPr>
        <w:t xml:space="preserve"> 2011, </w:t>
      </w:r>
      <w:r w:rsidRPr="001C2BED">
        <w:rPr>
          <w:rFonts w:ascii="Times New Roman" w:hAnsi="Times New Roman" w:cs="Times New Roman"/>
        </w:rPr>
        <w:t>σελ</w:t>
      </w:r>
      <w:r w:rsidRPr="001C2BED">
        <w:rPr>
          <w:rFonts w:ascii="Times New Roman" w:hAnsi="Times New Roman" w:cs="Times New Roman"/>
          <w:lang w:val="fr-FR"/>
        </w:rPr>
        <w:t xml:space="preserve">. </w:t>
      </w:r>
      <w:r w:rsidRPr="001C2BED">
        <w:rPr>
          <w:rFonts w:ascii="Times New Roman" w:hAnsi="Times New Roman" w:cs="Times New Roman"/>
        </w:rPr>
        <w:t>Ι</w:t>
      </w:r>
      <w:r w:rsidRPr="001C2BED">
        <w:rPr>
          <w:rFonts w:ascii="Times New Roman" w:hAnsi="Times New Roman" w:cs="Times New Roman"/>
          <w:lang w:val="fr-FR"/>
        </w:rPr>
        <w:t xml:space="preserve">-527, </w:t>
      </w:r>
      <w:r w:rsidRPr="001C2BED">
        <w:rPr>
          <w:rFonts w:ascii="Times New Roman" w:hAnsi="Times New Roman" w:cs="Times New Roman"/>
        </w:rPr>
        <w:t>παρ</w:t>
      </w:r>
      <w:r w:rsidRPr="001C2BED">
        <w:rPr>
          <w:rFonts w:ascii="Times New Roman" w:hAnsi="Times New Roman" w:cs="Times New Roman"/>
          <w:lang w:val="fr-FR"/>
        </w:rPr>
        <w:t>. 98.</w:t>
      </w:r>
    </w:p>
  </w:footnote>
  <w:footnote w:id="99">
    <w:p w:rsidR="00176031" w:rsidRPr="001C2BED" w:rsidRDefault="00176031" w:rsidP="001C2BED">
      <w:pPr>
        <w:pStyle w:val="FootnoteText"/>
        <w:jc w:val="both"/>
        <w:rPr>
          <w:rFonts w:ascii="Times New Roman" w:hAnsi="Times New Roman" w:cs="Times New Roman"/>
          <w:lang w:val="fr-FR"/>
        </w:rPr>
      </w:pPr>
      <w:r w:rsidRPr="001C2BED">
        <w:rPr>
          <w:rStyle w:val="FootnoteReference"/>
          <w:rFonts w:ascii="Times New Roman" w:hAnsi="Times New Roman" w:cs="Times New Roman"/>
        </w:rPr>
        <w:footnoteRef/>
      </w:r>
      <w:r w:rsidRPr="001C2BED">
        <w:rPr>
          <w:rFonts w:ascii="Times New Roman" w:hAnsi="Times New Roman" w:cs="Times New Roman"/>
        </w:rPr>
        <w:t>ΠΕΚΤ</w:t>
      </w:r>
      <w:r w:rsidRPr="001C2BED">
        <w:rPr>
          <w:rFonts w:ascii="Times New Roman" w:hAnsi="Times New Roman" w:cs="Times New Roman"/>
          <w:lang w:val="fr-FR"/>
        </w:rPr>
        <w:t xml:space="preserve">-271/03, </w:t>
      </w:r>
      <w:r w:rsidRPr="001C2BED">
        <w:rPr>
          <w:rFonts w:ascii="Times New Roman" w:hAnsi="Times New Roman" w:cs="Times New Roman"/>
          <w:i/>
          <w:lang w:val="fr-FR"/>
        </w:rPr>
        <w:t>Deutsche Telekom</w:t>
      </w:r>
      <w:r w:rsidRPr="001C2BED">
        <w:rPr>
          <w:rFonts w:ascii="Times New Roman" w:hAnsi="Times New Roman" w:cs="Times New Roman"/>
          <w:lang w:val="fr-FR"/>
        </w:rPr>
        <w:t xml:space="preserve">, </w:t>
      </w:r>
      <w:r w:rsidRPr="001C2BED">
        <w:rPr>
          <w:rFonts w:ascii="Times New Roman" w:hAnsi="Times New Roman" w:cs="Times New Roman"/>
        </w:rPr>
        <w:t>Συλλογή</w:t>
      </w:r>
      <w:r w:rsidRPr="001C2BED">
        <w:rPr>
          <w:rFonts w:ascii="Times New Roman" w:hAnsi="Times New Roman" w:cs="Times New Roman"/>
          <w:lang w:val="fr-FR"/>
        </w:rPr>
        <w:t xml:space="preserve"> 2006, </w:t>
      </w:r>
      <w:r w:rsidRPr="001C2BED">
        <w:rPr>
          <w:rFonts w:ascii="Times New Roman" w:hAnsi="Times New Roman" w:cs="Times New Roman"/>
        </w:rPr>
        <w:t>σελ</w:t>
      </w:r>
      <w:r w:rsidRPr="001C2BED">
        <w:rPr>
          <w:rFonts w:ascii="Times New Roman" w:hAnsi="Times New Roman" w:cs="Times New Roman"/>
          <w:lang w:val="fr-FR"/>
        </w:rPr>
        <w:t xml:space="preserve">. </w:t>
      </w:r>
      <w:r w:rsidRPr="001C2BED">
        <w:rPr>
          <w:rFonts w:ascii="Times New Roman" w:hAnsi="Times New Roman" w:cs="Times New Roman"/>
        </w:rPr>
        <w:t>ΙΙ</w:t>
      </w:r>
      <w:r w:rsidRPr="001C2BED">
        <w:rPr>
          <w:rFonts w:ascii="Times New Roman" w:hAnsi="Times New Roman" w:cs="Times New Roman"/>
          <w:lang w:val="fr-FR"/>
        </w:rPr>
        <w:t>-1747.</w:t>
      </w:r>
    </w:p>
  </w:footnote>
  <w:footnote w:id="100">
    <w:p w:rsidR="00176031" w:rsidRPr="001C2BED" w:rsidRDefault="00176031" w:rsidP="001C2BED">
      <w:pPr>
        <w:pStyle w:val="FootnoteText"/>
        <w:jc w:val="both"/>
        <w:rPr>
          <w:rFonts w:ascii="Times New Roman" w:hAnsi="Times New Roman" w:cs="Times New Roman"/>
          <w:lang w:val="fr-FR"/>
        </w:rPr>
      </w:pPr>
      <w:r w:rsidRPr="001C2BED">
        <w:rPr>
          <w:rStyle w:val="FootnoteReference"/>
          <w:rFonts w:ascii="Times New Roman" w:hAnsi="Times New Roman" w:cs="Times New Roman"/>
        </w:rPr>
        <w:footnoteRef/>
      </w:r>
      <w:r w:rsidRPr="001C2BED">
        <w:rPr>
          <w:rFonts w:ascii="Times New Roman" w:hAnsi="Times New Roman" w:cs="Times New Roman"/>
          <w:i/>
          <w:lang w:val="fr-FR"/>
        </w:rPr>
        <w:t>Ibid</w:t>
      </w:r>
      <w:r w:rsidRPr="001C2BED">
        <w:rPr>
          <w:rFonts w:ascii="Times New Roman" w:hAnsi="Times New Roman" w:cs="Times New Roman"/>
          <w:lang w:val="fr-FR"/>
        </w:rPr>
        <w:t xml:space="preserve">, </w:t>
      </w:r>
      <w:r w:rsidRPr="001C2BED">
        <w:rPr>
          <w:rFonts w:ascii="Times New Roman" w:hAnsi="Times New Roman" w:cs="Times New Roman"/>
        </w:rPr>
        <w:t>παρ</w:t>
      </w:r>
      <w:r w:rsidRPr="001C2BED">
        <w:rPr>
          <w:rFonts w:ascii="Times New Roman" w:hAnsi="Times New Roman" w:cs="Times New Roman"/>
          <w:lang w:val="fr-FR"/>
        </w:rPr>
        <w:t xml:space="preserve">. 237. </w:t>
      </w:r>
      <w:r w:rsidRPr="001C2BED">
        <w:rPr>
          <w:rFonts w:ascii="Times New Roman" w:hAnsi="Times New Roman" w:cs="Times New Roman"/>
        </w:rPr>
        <w:t>Βλ</w:t>
      </w:r>
      <w:r w:rsidRPr="001C2BED">
        <w:rPr>
          <w:rFonts w:ascii="Times New Roman" w:hAnsi="Times New Roman" w:cs="Times New Roman"/>
          <w:lang w:val="fr-FR"/>
        </w:rPr>
        <w:t xml:space="preserve">. </w:t>
      </w:r>
      <w:r w:rsidRPr="001C2BED">
        <w:rPr>
          <w:rFonts w:ascii="Times New Roman" w:hAnsi="Times New Roman" w:cs="Times New Roman"/>
        </w:rPr>
        <w:t>καιΔΕΚ</w:t>
      </w:r>
      <w:r w:rsidRPr="001C2BED">
        <w:rPr>
          <w:rFonts w:ascii="Times New Roman" w:hAnsi="Times New Roman" w:cs="Times New Roman"/>
          <w:lang w:val="fr-FR"/>
        </w:rPr>
        <w:t xml:space="preserve"> C-52/09, </w:t>
      </w:r>
      <w:r w:rsidRPr="001C2BED">
        <w:rPr>
          <w:rFonts w:ascii="Times New Roman" w:hAnsi="Times New Roman" w:cs="Times New Roman"/>
          <w:i/>
          <w:lang w:val="fr-FR"/>
        </w:rPr>
        <w:t xml:space="preserve">TeliaSonera, </w:t>
      </w:r>
      <w:r w:rsidRPr="001C2BED">
        <w:rPr>
          <w:rFonts w:ascii="Times New Roman" w:hAnsi="Times New Roman" w:cs="Times New Roman"/>
        </w:rPr>
        <w:t>Συλλογή</w:t>
      </w:r>
      <w:r w:rsidRPr="001C2BED">
        <w:rPr>
          <w:rFonts w:ascii="Times New Roman" w:hAnsi="Times New Roman" w:cs="Times New Roman"/>
          <w:lang w:val="fr-FR"/>
        </w:rPr>
        <w:t xml:space="preserve"> 2011, </w:t>
      </w:r>
      <w:r w:rsidRPr="001C2BED">
        <w:rPr>
          <w:rFonts w:ascii="Times New Roman" w:hAnsi="Times New Roman" w:cs="Times New Roman"/>
        </w:rPr>
        <w:t>σελ</w:t>
      </w:r>
      <w:r w:rsidRPr="001C2BED">
        <w:rPr>
          <w:rFonts w:ascii="Times New Roman" w:hAnsi="Times New Roman" w:cs="Times New Roman"/>
          <w:lang w:val="fr-FR"/>
        </w:rPr>
        <w:t xml:space="preserve">. </w:t>
      </w:r>
      <w:r w:rsidRPr="001C2BED">
        <w:rPr>
          <w:rFonts w:ascii="Times New Roman" w:hAnsi="Times New Roman" w:cs="Times New Roman"/>
        </w:rPr>
        <w:t>Ι</w:t>
      </w:r>
      <w:r w:rsidRPr="001C2BED">
        <w:rPr>
          <w:rFonts w:ascii="Times New Roman" w:hAnsi="Times New Roman" w:cs="Times New Roman"/>
          <w:lang w:val="fr-FR"/>
        </w:rPr>
        <w:t xml:space="preserve">-527, </w:t>
      </w:r>
      <w:r w:rsidRPr="001C2BED">
        <w:rPr>
          <w:rFonts w:ascii="Times New Roman" w:hAnsi="Times New Roman" w:cs="Times New Roman"/>
        </w:rPr>
        <w:t>παρ</w:t>
      </w:r>
      <w:r w:rsidRPr="001C2BED">
        <w:rPr>
          <w:rFonts w:ascii="Times New Roman" w:hAnsi="Times New Roman" w:cs="Times New Roman"/>
          <w:lang w:val="fr-FR"/>
        </w:rPr>
        <w:t>. 32.</w:t>
      </w:r>
    </w:p>
  </w:footnote>
  <w:footnote w:id="101">
    <w:p w:rsidR="00176031" w:rsidRPr="001C2BED" w:rsidRDefault="00176031" w:rsidP="001C2BED">
      <w:pPr>
        <w:pStyle w:val="FootnoteText"/>
        <w:jc w:val="both"/>
        <w:rPr>
          <w:rFonts w:ascii="Times New Roman" w:hAnsi="Times New Roman" w:cs="Times New Roman"/>
          <w:lang w:val="fr-FR"/>
        </w:rPr>
      </w:pPr>
      <w:r w:rsidRPr="001C2BED">
        <w:rPr>
          <w:rStyle w:val="FootnoteReference"/>
          <w:rFonts w:ascii="Times New Roman" w:hAnsi="Times New Roman" w:cs="Times New Roman"/>
        </w:rPr>
        <w:footnoteRef/>
      </w:r>
      <w:r w:rsidRPr="001C2BED">
        <w:rPr>
          <w:rFonts w:ascii="Times New Roman" w:hAnsi="Times New Roman" w:cs="Times New Roman"/>
        </w:rPr>
        <w:t>ΔΕΚ</w:t>
      </w:r>
      <w:r w:rsidRPr="001C2BED">
        <w:rPr>
          <w:rFonts w:ascii="Times New Roman" w:hAnsi="Times New Roman" w:cs="Times New Roman"/>
          <w:lang w:val="fr-FR"/>
        </w:rPr>
        <w:t xml:space="preserve"> C-52/09, </w:t>
      </w:r>
      <w:r w:rsidRPr="001C2BED">
        <w:rPr>
          <w:rFonts w:ascii="Times New Roman" w:hAnsi="Times New Roman" w:cs="Times New Roman"/>
          <w:i/>
          <w:lang w:val="fr-FR"/>
        </w:rPr>
        <w:t xml:space="preserve">TeliaSonera, </w:t>
      </w:r>
      <w:r w:rsidRPr="001C2BED">
        <w:rPr>
          <w:rFonts w:ascii="Times New Roman" w:hAnsi="Times New Roman" w:cs="Times New Roman"/>
        </w:rPr>
        <w:t>Συλλογή</w:t>
      </w:r>
      <w:r w:rsidRPr="001C2BED">
        <w:rPr>
          <w:rFonts w:ascii="Times New Roman" w:hAnsi="Times New Roman" w:cs="Times New Roman"/>
          <w:lang w:val="fr-FR"/>
        </w:rPr>
        <w:t xml:space="preserve"> 2011, </w:t>
      </w:r>
      <w:r w:rsidRPr="001C2BED">
        <w:rPr>
          <w:rFonts w:ascii="Times New Roman" w:hAnsi="Times New Roman" w:cs="Times New Roman"/>
        </w:rPr>
        <w:t>σελ</w:t>
      </w:r>
      <w:r w:rsidRPr="001C2BED">
        <w:rPr>
          <w:rFonts w:ascii="Times New Roman" w:hAnsi="Times New Roman" w:cs="Times New Roman"/>
          <w:lang w:val="fr-FR"/>
        </w:rPr>
        <w:t xml:space="preserve">. </w:t>
      </w:r>
      <w:r w:rsidRPr="001C2BED">
        <w:rPr>
          <w:rFonts w:ascii="Times New Roman" w:hAnsi="Times New Roman" w:cs="Times New Roman"/>
        </w:rPr>
        <w:t>Ι</w:t>
      </w:r>
      <w:r w:rsidRPr="001C2BED">
        <w:rPr>
          <w:rFonts w:ascii="Times New Roman" w:hAnsi="Times New Roman" w:cs="Times New Roman"/>
          <w:lang w:val="fr-FR"/>
        </w:rPr>
        <w:t xml:space="preserve">-527, </w:t>
      </w:r>
      <w:r w:rsidRPr="001C2BED">
        <w:rPr>
          <w:rFonts w:ascii="Times New Roman" w:hAnsi="Times New Roman" w:cs="Times New Roman"/>
        </w:rPr>
        <w:t>παρ</w:t>
      </w:r>
      <w:r w:rsidRPr="001C2BED">
        <w:rPr>
          <w:rFonts w:ascii="Times New Roman" w:hAnsi="Times New Roman" w:cs="Times New Roman"/>
          <w:lang w:val="fr-FR"/>
        </w:rPr>
        <w:t xml:space="preserve">. 31. </w:t>
      </w:r>
      <w:r w:rsidRPr="001C2BED">
        <w:rPr>
          <w:rFonts w:ascii="Times New Roman" w:hAnsi="Times New Roman" w:cs="Times New Roman"/>
        </w:rPr>
        <w:t>Βλ</w:t>
      </w:r>
      <w:r w:rsidRPr="001C2BED">
        <w:rPr>
          <w:rFonts w:ascii="Times New Roman" w:hAnsi="Times New Roman" w:cs="Times New Roman"/>
          <w:lang w:val="fr-FR"/>
        </w:rPr>
        <w:t xml:space="preserve">. </w:t>
      </w:r>
      <w:r w:rsidRPr="001C2BED">
        <w:rPr>
          <w:rFonts w:ascii="Times New Roman" w:hAnsi="Times New Roman" w:cs="Times New Roman"/>
        </w:rPr>
        <w:t>ΠΕΚΤ</w:t>
      </w:r>
      <w:r w:rsidRPr="001C2BED">
        <w:rPr>
          <w:rFonts w:ascii="Times New Roman" w:hAnsi="Times New Roman" w:cs="Times New Roman"/>
          <w:lang w:val="fr-FR"/>
        </w:rPr>
        <w:t xml:space="preserve">-336/07, </w:t>
      </w:r>
      <w:r w:rsidRPr="001C2BED">
        <w:rPr>
          <w:rFonts w:ascii="Times New Roman" w:hAnsi="Times New Roman" w:cs="Times New Roman"/>
          <w:i/>
          <w:lang w:val="fr-FR"/>
        </w:rPr>
        <w:t>Telefónica</w:t>
      </w:r>
      <w:r w:rsidRPr="001C2BED">
        <w:rPr>
          <w:rFonts w:ascii="Times New Roman" w:hAnsi="Times New Roman" w:cs="Times New Roman"/>
          <w:lang w:val="fr-FR"/>
        </w:rPr>
        <w:t xml:space="preserve">, </w:t>
      </w:r>
      <w:r w:rsidRPr="001C2BED">
        <w:rPr>
          <w:rFonts w:ascii="Times New Roman" w:hAnsi="Times New Roman" w:cs="Times New Roman"/>
        </w:rPr>
        <w:t>της</w:t>
      </w:r>
      <w:r w:rsidRPr="001C2BED">
        <w:rPr>
          <w:rFonts w:ascii="Times New Roman" w:hAnsi="Times New Roman" w:cs="Times New Roman"/>
          <w:lang w:val="fr-FR"/>
        </w:rPr>
        <w:t xml:space="preserve"> 29/03/2012, </w:t>
      </w:r>
      <w:r w:rsidRPr="001C2BED">
        <w:rPr>
          <w:rFonts w:ascii="Times New Roman" w:hAnsi="Times New Roman" w:cs="Times New Roman"/>
        </w:rPr>
        <w:t>παρ</w:t>
      </w:r>
      <w:r w:rsidRPr="001C2BED">
        <w:rPr>
          <w:rFonts w:ascii="Times New Roman" w:hAnsi="Times New Roman" w:cs="Times New Roman"/>
          <w:lang w:val="fr-FR"/>
        </w:rPr>
        <w:t>. 187.</w:t>
      </w:r>
    </w:p>
  </w:footnote>
  <w:footnote w:id="102">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de-DE"/>
        </w:rPr>
        <w:t>C</w:t>
      </w:r>
      <w:r w:rsidRPr="001C2BED">
        <w:rPr>
          <w:rFonts w:ascii="Times New Roman" w:hAnsi="Times New Roman" w:cs="Times New Roman"/>
        </w:rPr>
        <w:t xml:space="preserve">-52/09, </w:t>
      </w:r>
      <w:r w:rsidRPr="001C2BED">
        <w:rPr>
          <w:rFonts w:ascii="Times New Roman" w:hAnsi="Times New Roman" w:cs="Times New Roman"/>
          <w:i/>
          <w:lang w:val="de-DE"/>
        </w:rPr>
        <w:t>TeliaSonera</w:t>
      </w:r>
      <w:r w:rsidRPr="001C2BED">
        <w:rPr>
          <w:rFonts w:ascii="Times New Roman" w:hAnsi="Times New Roman" w:cs="Times New Roman"/>
          <w:i/>
        </w:rPr>
        <w:t xml:space="preserve">, </w:t>
      </w:r>
      <w:r w:rsidRPr="001C2BED">
        <w:rPr>
          <w:rFonts w:ascii="Times New Roman" w:hAnsi="Times New Roman" w:cs="Times New Roman"/>
        </w:rPr>
        <w:t>Συλλογή 2011, σελ. Ι-527, παρ. 70.</w:t>
      </w:r>
    </w:p>
  </w:footnote>
  <w:footnote w:id="103">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64.</w:t>
      </w:r>
    </w:p>
  </w:footnote>
  <w:footnote w:id="104">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76.</w:t>
      </w:r>
    </w:p>
  </w:footnote>
  <w:footnote w:id="105">
    <w:p w:rsidR="00176031" w:rsidRPr="00405B4E"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i/>
          <w:lang w:val="fr-FR"/>
        </w:rPr>
        <w:t>Ibid</w:t>
      </w:r>
      <w:r w:rsidRPr="00405B4E">
        <w:rPr>
          <w:rFonts w:ascii="Times New Roman" w:hAnsi="Times New Roman" w:cs="Times New Roman"/>
        </w:rPr>
        <w:t>.</w:t>
      </w:r>
    </w:p>
  </w:footnote>
  <w:footnote w:id="106">
    <w:p w:rsidR="00176031" w:rsidRPr="001C2BED" w:rsidRDefault="00176031" w:rsidP="001C2BED">
      <w:pPr>
        <w:pStyle w:val="FootnoteText"/>
        <w:jc w:val="both"/>
        <w:rPr>
          <w:rFonts w:ascii="Times New Roman" w:hAnsi="Times New Roman" w:cs="Times New Roman"/>
          <w:lang w:val="fr-FR"/>
        </w:rPr>
      </w:pPr>
      <w:r w:rsidRPr="001C2BED">
        <w:rPr>
          <w:rStyle w:val="FootnoteReference"/>
          <w:rFonts w:ascii="Times New Roman" w:hAnsi="Times New Roman" w:cs="Times New Roman"/>
        </w:rPr>
        <w:footnoteRef/>
      </w:r>
      <w:r w:rsidRPr="001C2BED">
        <w:rPr>
          <w:rFonts w:ascii="Times New Roman" w:hAnsi="Times New Roman" w:cs="Times New Roman"/>
        </w:rPr>
        <w:t>ΠΕΚ</w:t>
      </w:r>
      <w:r w:rsidRPr="001C2BED">
        <w:rPr>
          <w:rFonts w:ascii="Times New Roman" w:hAnsi="Times New Roman" w:cs="Times New Roman"/>
          <w:lang w:val="fr-FR"/>
        </w:rPr>
        <w:t xml:space="preserve"> T-5/97, </w:t>
      </w:r>
      <w:r w:rsidRPr="001C2BED">
        <w:rPr>
          <w:rFonts w:ascii="Times New Roman" w:hAnsi="Times New Roman" w:cs="Times New Roman"/>
          <w:i/>
          <w:lang w:val="fr-FR"/>
        </w:rPr>
        <w:t>Industrie des Poudres Sphériques</w:t>
      </w:r>
      <w:r w:rsidRPr="001C2BED">
        <w:rPr>
          <w:rFonts w:ascii="Times New Roman" w:hAnsi="Times New Roman" w:cs="Times New Roman"/>
          <w:lang w:val="fr-FR"/>
        </w:rPr>
        <w:t xml:space="preserve">, </w:t>
      </w:r>
      <w:r w:rsidRPr="001C2BED">
        <w:rPr>
          <w:rFonts w:ascii="Times New Roman" w:hAnsi="Times New Roman" w:cs="Times New Roman"/>
        </w:rPr>
        <w:t>Συλλογή</w:t>
      </w:r>
      <w:r w:rsidRPr="001C2BED">
        <w:rPr>
          <w:rFonts w:ascii="Times New Roman" w:hAnsi="Times New Roman" w:cs="Times New Roman"/>
          <w:lang w:val="fr-FR"/>
        </w:rPr>
        <w:t xml:space="preserve"> 2000, </w:t>
      </w:r>
      <w:r w:rsidRPr="001C2BED">
        <w:rPr>
          <w:rFonts w:ascii="Times New Roman" w:hAnsi="Times New Roman" w:cs="Times New Roman"/>
        </w:rPr>
        <w:t>σελ</w:t>
      </w:r>
      <w:r w:rsidRPr="001C2BED">
        <w:rPr>
          <w:rFonts w:ascii="Times New Roman" w:hAnsi="Times New Roman" w:cs="Times New Roman"/>
          <w:lang w:val="fr-FR"/>
        </w:rPr>
        <w:t xml:space="preserve">. II-3755, </w:t>
      </w:r>
      <w:r w:rsidRPr="001C2BED">
        <w:rPr>
          <w:rFonts w:ascii="Times New Roman" w:hAnsi="Times New Roman" w:cs="Times New Roman"/>
        </w:rPr>
        <w:t>παρ</w:t>
      </w:r>
      <w:r w:rsidRPr="001C2BED">
        <w:rPr>
          <w:rFonts w:ascii="Times New Roman" w:hAnsi="Times New Roman" w:cs="Times New Roman"/>
          <w:lang w:val="fr-FR"/>
        </w:rPr>
        <w:t>. 180.</w:t>
      </w:r>
    </w:p>
  </w:footnote>
  <w:footnote w:id="107">
    <w:p w:rsidR="00176031" w:rsidRPr="001C2BED" w:rsidRDefault="00176031" w:rsidP="001C2BED">
      <w:pPr>
        <w:pStyle w:val="FootnoteText"/>
        <w:jc w:val="both"/>
        <w:rPr>
          <w:rFonts w:ascii="Times New Roman" w:hAnsi="Times New Roman" w:cs="Times New Roman"/>
          <w:lang w:val="fr-FR"/>
        </w:rPr>
      </w:pPr>
      <w:r w:rsidRPr="001C2BED">
        <w:rPr>
          <w:rStyle w:val="FootnoteReference"/>
          <w:rFonts w:ascii="Times New Roman" w:hAnsi="Times New Roman" w:cs="Times New Roman"/>
        </w:rPr>
        <w:footnoteRef/>
      </w:r>
      <w:r w:rsidRPr="001C2BED">
        <w:rPr>
          <w:rFonts w:ascii="Times New Roman" w:hAnsi="Times New Roman" w:cs="Times New Roman"/>
        </w:rPr>
        <w:t>ΠΕΚΤ</w:t>
      </w:r>
      <w:r w:rsidRPr="001C2BED">
        <w:rPr>
          <w:rFonts w:ascii="Times New Roman" w:hAnsi="Times New Roman" w:cs="Times New Roman"/>
          <w:lang w:val="fr-FR"/>
        </w:rPr>
        <w:t xml:space="preserve">-271/03, </w:t>
      </w:r>
      <w:r w:rsidRPr="001C2BED">
        <w:rPr>
          <w:rFonts w:ascii="Times New Roman" w:hAnsi="Times New Roman" w:cs="Times New Roman"/>
          <w:i/>
          <w:lang w:val="fr-FR"/>
        </w:rPr>
        <w:t>Deutsche Telekom</w:t>
      </w:r>
      <w:r w:rsidRPr="001C2BED">
        <w:rPr>
          <w:rFonts w:ascii="Times New Roman" w:hAnsi="Times New Roman" w:cs="Times New Roman"/>
          <w:lang w:val="fr-FR"/>
        </w:rPr>
        <w:t xml:space="preserve">, </w:t>
      </w:r>
      <w:r w:rsidRPr="001C2BED">
        <w:rPr>
          <w:rFonts w:ascii="Times New Roman" w:hAnsi="Times New Roman" w:cs="Times New Roman"/>
        </w:rPr>
        <w:t>Συλλογή</w:t>
      </w:r>
      <w:r w:rsidRPr="001C2BED">
        <w:rPr>
          <w:rFonts w:ascii="Times New Roman" w:hAnsi="Times New Roman" w:cs="Times New Roman"/>
          <w:lang w:val="fr-FR"/>
        </w:rPr>
        <w:t xml:space="preserve"> 2006, </w:t>
      </w:r>
      <w:r w:rsidRPr="001C2BED">
        <w:rPr>
          <w:rFonts w:ascii="Times New Roman" w:hAnsi="Times New Roman" w:cs="Times New Roman"/>
        </w:rPr>
        <w:t>σελ</w:t>
      </w:r>
      <w:r w:rsidRPr="001C2BED">
        <w:rPr>
          <w:rFonts w:ascii="Times New Roman" w:hAnsi="Times New Roman" w:cs="Times New Roman"/>
          <w:lang w:val="fr-FR"/>
        </w:rPr>
        <w:t xml:space="preserve">. </w:t>
      </w:r>
      <w:r w:rsidRPr="001C2BED">
        <w:rPr>
          <w:rFonts w:ascii="Times New Roman" w:hAnsi="Times New Roman" w:cs="Times New Roman"/>
        </w:rPr>
        <w:t>ΙΙ</w:t>
      </w:r>
      <w:r w:rsidRPr="001C2BED">
        <w:rPr>
          <w:rFonts w:ascii="Times New Roman" w:hAnsi="Times New Roman" w:cs="Times New Roman"/>
          <w:lang w:val="fr-FR"/>
        </w:rPr>
        <w:t xml:space="preserve">-1747, </w:t>
      </w:r>
      <w:r w:rsidRPr="001C2BED">
        <w:rPr>
          <w:rFonts w:ascii="Times New Roman" w:hAnsi="Times New Roman" w:cs="Times New Roman"/>
        </w:rPr>
        <w:t>παρ</w:t>
      </w:r>
      <w:r w:rsidRPr="001C2BED">
        <w:rPr>
          <w:rFonts w:ascii="Times New Roman" w:hAnsi="Times New Roman" w:cs="Times New Roman"/>
          <w:lang w:val="fr-FR"/>
        </w:rPr>
        <w:t>. 237.</w:t>
      </w:r>
    </w:p>
  </w:footnote>
  <w:footnote w:id="108">
    <w:p w:rsidR="00176031" w:rsidRPr="001C2BED" w:rsidRDefault="00176031" w:rsidP="001C2BED">
      <w:pPr>
        <w:pStyle w:val="FootnoteText"/>
        <w:jc w:val="both"/>
        <w:rPr>
          <w:rFonts w:ascii="Times New Roman" w:hAnsi="Times New Roman" w:cs="Times New Roman"/>
          <w:lang w:val="fr-FR"/>
        </w:rPr>
      </w:pPr>
      <w:r w:rsidRPr="001C2BED">
        <w:rPr>
          <w:rStyle w:val="FootnoteReference"/>
          <w:rFonts w:ascii="Times New Roman" w:hAnsi="Times New Roman" w:cs="Times New Roman"/>
        </w:rPr>
        <w:footnoteRef/>
      </w:r>
      <w:r w:rsidRPr="001C2BED">
        <w:rPr>
          <w:rFonts w:ascii="Times New Roman" w:hAnsi="Times New Roman" w:cs="Times New Roman"/>
        </w:rPr>
        <w:t>ΔΕΚ</w:t>
      </w:r>
      <w:r w:rsidRPr="00405B4E">
        <w:rPr>
          <w:rFonts w:ascii="Times New Roman" w:hAnsi="Times New Roman" w:cs="Times New Roman"/>
          <w:lang w:val="fr-FR"/>
        </w:rPr>
        <w:t xml:space="preserve"> </w:t>
      </w:r>
      <w:r w:rsidRPr="001C2BED">
        <w:rPr>
          <w:rFonts w:ascii="Times New Roman" w:hAnsi="Times New Roman" w:cs="Times New Roman"/>
          <w:lang w:val="de-DE"/>
        </w:rPr>
        <w:t>C</w:t>
      </w:r>
      <w:r w:rsidRPr="00405B4E">
        <w:rPr>
          <w:rFonts w:ascii="Times New Roman" w:hAnsi="Times New Roman" w:cs="Times New Roman"/>
          <w:lang w:val="fr-FR"/>
        </w:rPr>
        <w:t xml:space="preserve">-52/09, </w:t>
      </w:r>
      <w:r w:rsidRPr="001C2BED">
        <w:rPr>
          <w:rFonts w:ascii="Times New Roman" w:hAnsi="Times New Roman" w:cs="Times New Roman"/>
          <w:i/>
          <w:lang w:val="de-DE"/>
        </w:rPr>
        <w:t>TeliaSonera</w:t>
      </w:r>
      <w:r w:rsidRPr="00405B4E">
        <w:rPr>
          <w:rFonts w:ascii="Times New Roman" w:hAnsi="Times New Roman" w:cs="Times New Roman"/>
          <w:i/>
          <w:lang w:val="fr-FR"/>
        </w:rPr>
        <w:t xml:space="preserve">, </w:t>
      </w:r>
      <w:r w:rsidRPr="001C2BED">
        <w:rPr>
          <w:rFonts w:ascii="Times New Roman" w:hAnsi="Times New Roman" w:cs="Times New Roman"/>
        </w:rPr>
        <w:t>Συλλογή</w:t>
      </w:r>
      <w:r w:rsidRPr="00405B4E">
        <w:rPr>
          <w:rFonts w:ascii="Times New Roman" w:hAnsi="Times New Roman" w:cs="Times New Roman"/>
          <w:lang w:val="fr-FR"/>
        </w:rPr>
        <w:t xml:space="preserve"> 2011, </w:t>
      </w:r>
      <w:r w:rsidRPr="001C2BED">
        <w:rPr>
          <w:rFonts w:ascii="Times New Roman" w:hAnsi="Times New Roman" w:cs="Times New Roman"/>
        </w:rPr>
        <w:t>σελ</w:t>
      </w:r>
      <w:r w:rsidRPr="00405B4E">
        <w:rPr>
          <w:rFonts w:ascii="Times New Roman" w:hAnsi="Times New Roman" w:cs="Times New Roman"/>
          <w:lang w:val="fr-FR"/>
        </w:rPr>
        <w:t xml:space="preserve">. </w:t>
      </w:r>
      <w:r w:rsidRPr="001C2BED">
        <w:rPr>
          <w:rFonts w:ascii="Times New Roman" w:hAnsi="Times New Roman" w:cs="Times New Roman"/>
        </w:rPr>
        <w:t>Ι</w:t>
      </w:r>
      <w:r w:rsidRPr="001C2BED">
        <w:rPr>
          <w:rFonts w:ascii="Times New Roman" w:hAnsi="Times New Roman" w:cs="Times New Roman"/>
          <w:lang w:val="fr-FR"/>
        </w:rPr>
        <w:t xml:space="preserve">-527, </w:t>
      </w:r>
      <w:r w:rsidRPr="001C2BED">
        <w:rPr>
          <w:rFonts w:ascii="Times New Roman" w:hAnsi="Times New Roman" w:cs="Times New Roman"/>
        </w:rPr>
        <w:t>παρ</w:t>
      </w:r>
      <w:r w:rsidRPr="001C2BED">
        <w:rPr>
          <w:rFonts w:ascii="Times New Roman" w:hAnsi="Times New Roman" w:cs="Times New Roman"/>
          <w:lang w:val="fr-FR"/>
        </w:rPr>
        <w:t>. 61.</w:t>
      </w:r>
    </w:p>
  </w:footnote>
  <w:footnote w:id="109">
    <w:p w:rsidR="00176031" w:rsidRPr="001C2BED" w:rsidRDefault="00176031" w:rsidP="001C2BED">
      <w:pPr>
        <w:pStyle w:val="FootnoteText"/>
        <w:jc w:val="both"/>
        <w:rPr>
          <w:rFonts w:ascii="Times New Roman" w:hAnsi="Times New Roman" w:cs="Times New Roman"/>
          <w:lang w:val="fr-FR"/>
        </w:rPr>
      </w:pPr>
      <w:r w:rsidRPr="001C2BED">
        <w:rPr>
          <w:rStyle w:val="FootnoteReference"/>
          <w:rFonts w:ascii="Times New Roman" w:hAnsi="Times New Roman" w:cs="Times New Roman"/>
        </w:rPr>
        <w:footnoteRef/>
      </w:r>
      <w:r w:rsidRPr="001C2BED">
        <w:rPr>
          <w:rFonts w:ascii="Times New Roman" w:hAnsi="Times New Roman" w:cs="Times New Roman"/>
        </w:rPr>
        <w:t>ΠΕΚ</w:t>
      </w:r>
      <w:r w:rsidRPr="001C2BED">
        <w:rPr>
          <w:rFonts w:ascii="Times New Roman" w:hAnsi="Times New Roman" w:cs="Times New Roman"/>
          <w:lang w:val="fr-FR"/>
        </w:rPr>
        <w:t xml:space="preserve"> T-5/97, </w:t>
      </w:r>
      <w:r w:rsidRPr="001C2BED">
        <w:rPr>
          <w:rFonts w:ascii="Times New Roman" w:hAnsi="Times New Roman" w:cs="Times New Roman"/>
          <w:i/>
          <w:lang w:val="fr-FR"/>
        </w:rPr>
        <w:t>Industrie des Poudres Sphériques</w:t>
      </w:r>
      <w:r w:rsidRPr="001C2BED">
        <w:rPr>
          <w:rFonts w:ascii="Times New Roman" w:hAnsi="Times New Roman" w:cs="Times New Roman"/>
          <w:lang w:val="fr-FR"/>
        </w:rPr>
        <w:t xml:space="preserve">, </w:t>
      </w:r>
      <w:r w:rsidRPr="001C2BED">
        <w:rPr>
          <w:rFonts w:ascii="Times New Roman" w:hAnsi="Times New Roman" w:cs="Times New Roman"/>
        </w:rPr>
        <w:t>Συλλογή</w:t>
      </w:r>
      <w:r w:rsidRPr="001C2BED">
        <w:rPr>
          <w:rFonts w:ascii="Times New Roman" w:hAnsi="Times New Roman" w:cs="Times New Roman"/>
          <w:lang w:val="fr-FR"/>
        </w:rPr>
        <w:t xml:space="preserve"> 2000, </w:t>
      </w:r>
      <w:r w:rsidRPr="001C2BED">
        <w:rPr>
          <w:rFonts w:ascii="Times New Roman" w:hAnsi="Times New Roman" w:cs="Times New Roman"/>
        </w:rPr>
        <w:t>σελ</w:t>
      </w:r>
      <w:r w:rsidRPr="001C2BED">
        <w:rPr>
          <w:rFonts w:ascii="Times New Roman" w:hAnsi="Times New Roman" w:cs="Times New Roman"/>
          <w:lang w:val="fr-FR"/>
        </w:rPr>
        <w:t xml:space="preserve">. II-3755, </w:t>
      </w:r>
      <w:r w:rsidRPr="001C2BED">
        <w:rPr>
          <w:rFonts w:ascii="Times New Roman" w:hAnsi="Times New Roman" w:cs="Times New Roman"/>
        </w:rPr>
        <w:t>παρ</w:t>
      </w:r>
      <w:r w:rsidRPr="001C2BED">
        <w:rPr>
          <w:rFonts w:ascii="Times New Roman" w:hAnsi="Times New Roman" w:cs="Times New Roman"/>
          <w:lang w:val="fr-FR"/>
        </w:rPr>
        <w:t>. 179.</w:t>
      </w:r>
    </w:p>
  </w:footnote>
  <w:footnote w:id="110">
    <w:p w:rsidR="00176031" w:rsidRPr="001C2BED" w:rsidRDefault="00176031" w:rsidP="001C2BED">
      <w:pPr>
        <w:pStyle w:val="FootnoteText"/>
        <w:jc w:val="both"/>
        <w:rPr>
          <w:rFonts w:ascii="Times New Roman" w:hAnsi="Times New Roman" w:cs="Times New Roman"/>
          <w:lang w:val="fr-FR"/>
        </w:rPr>
      </w:pPr>
      <w:r w:rsidRPr="001C2BED">
        <w:rPr>
          <w:rStyle w:val="FootnoteReference"/>
          <w:rFonts w:ascii="Times New Roman" w:hAnsi="Times New Roman" w:cs="Times New Roman"/>
        </w:rPr>
        <w:footnoteRef/>
      </w:r>
      <w:r w:rsidRPr="001C2BED">
        <w:rPr>
          <w:rFonts w:ascii="Times New Roman" w:hAnsi="Times New Roman" w:cs="Times New Roman"/>
        </w:rPr>
        <w:t>ΠΕΚΤ</w:t>
      </w:r>
      <w:r w:rsidRPr="001C2BED">
        <w:rPr>
          <w:rFonts w:ascii="Times New Roman" w:hAnsi="Times New Roman" w:cs="Times New Roman"/>
          <w:lang w:val="fr-FR"/>
        </w:rPr>
        <w:t xml:space="preserve">-271/03, </w:t>
      </w:r>
      <w:r w:rsidRPr="001C2BED">
        <w:rPr>
          <w:rFonts w:ascii="Times New Roman" w:hAnsi="Times New Roman" w:cs="Times New Roman"/>
          <w:i/>
          <w:lang w:val="fr-FR"/>
        </w:rPr>
        <w:t>Deutsche Telekom</w:t>
      </w:r>
      <w:r w:rsidRPr="001C2BED">
        <w:rPr>
          <w:rFonts w:ascii="Times New Roman" w:hAnsi="Times New Roman" w:cs="Times New Roman"/>
          <w:lang w:val="fr-FR"/>
        </w:rPr>
        <w:t xml:space="preserve">, </w:t>
      </w:r>
      <w:r w:rsidRPr="001C2BED">
        <w:rPr>
          <w:rFonts w:ascii="Times New Roman" w:hAnsi="Times New Roman" w:cs="Times New Roman"/>
        </w:rPr>
        <w:t>Συλλογή</w:t>
      </w:r>
      <w:r w:rsidRPr="001C2BED">
        <w:rPr>
          <w:rFonts w:ascii="Times New Roman" w:hAnsi="Times New Roman" w:cs="Times New Roman"/>
          <w:lang w:val="fr-FR"/>
        </w:rPr>
        <w:t xml:space="preserve"> 2006, </w:t>
      </w:r>
      <w:r w:rsidRPr="001C2BED">
        <w:rPr>
          <w:rFonts w:ascii="Times New Roman" w:hAnsi="Times New Roman" w:cs="Times New Roman"/>
        </w:rPr>
        <w:t>σελ</w:t>
      </w:r>
      <w:r w:rsidRPr="001C2BED">
        <w:rPr>
          <w:rFonts w:ascii="Times New Roman" w:hAnsi="Times New Roman" w:cs="Times New Roman"/>
          <w:lang w:val="fr-FR"/>
        </w:rPr>
        <w:t xml:space="preserve">. </w:t>
      </w:r>
      <w:r w:rsidRPr="001C2BED">
        <w:rPr>
          <w:rFonts w:ascii="Times New Roman" w:hAnsi="Times New Roman" w:cs="Times New Roman"/>
        </w:rPr>
        <w:t>ΙΙ</w:t>
      </w:r>
      <w:r w:rsidRPr="001C2BED">
        <w:rPr>
          <w:rFonts w:ascii="Times New Roman" w:hAnsi="Times New Roman" w:cs="Times New Roman"/>
          <w:lang w:val="fr-FR"/>
        </w:rPr>
        <w:t xml:space="preserve">-1747, </w:t>
      </w:r>
      <w:r w:rsidRPr="001C2BED">
        <w:rPr>
          <w:rFonts w:ascii="Times New Roman" w:hAnsi="Times New Roman" w:cs="Times New Roman"/>
        </w:rPr>
        <w:t>παρ</w:t>
      </w:r>
      <w:r w:rsidRPr="001C2BED">
        <w:rPr>
          <w:rFonts w:ascii="Times New Roman" w:hAnsi="Times New Roman" w:cs="Times New Roman"/>
          <w:lang w:val="fr-FR"/>
        </w:rPr>
        <w:t>. 199.</w:t>
      </w:r>
    </w:p>
  </w:footnote>
  <w:footnote w:id="111">
    <w:p w:rsidR="00176031" w:rsidRPr="001C2BED" w:rsidRDefault="00176031" w:rsidP="001C2BED">
      <w:pPr>
        <w:pStyle w:val="FootnoteText"/>
        <w:jc w:val="both"/>
        <w:rPr>
          <w:rFonts w:ascii="Times New Roman" w:hAnsi="Times New Roman" w:cs="Times New Roman"/>
          <w:lang w:val="fr-FR"/>
        </w:rPr>
      </w:pPr>
      <w:r w:rsidRPr="001C2BED">
        <w:rPr>
          <w:rStyle w:val="FootnoteReference"/>
          <w:rFonts w:ascii="Times New Roman" w:hAnsi="Times New Roman" w:cs="Times New Roman"/>
        </w:rPr>
        <w:footnoteRef/>
      </w:r>
      <w:r w:rsidRPr="001C2BED">
        <w:rPr>
          <w:rFonts w:ascii="Times New Roman" w:hAnsi="Times New Roman" w:cs="Times New Roman"/>
          <w:i/>
          <w:lang w:val="fr-FR"/>
        </w:rPr>
        <w:t>Ibid</w:t>
      </w:r>
      <w:r w:rsidRPr="001C2BED">
        <w:rPr>
          <w:rFonts w:ascii="Times New Roman" w:hAnsi="Times New Roman" w:cs="Times New Roman"/>
          <w:lang w:val="fr-FR"/>
        </w:rPr>
        <w:t xml:space="preserve">, </w:t>
      </w:r>
      <w:r w:rsidRPr="001C2BED">
        <w:rPr>
          <w:rFonts w:ascii="Times New Roman" w:hAnsi="Times New Roman" w:cs="Times New Roman"/>
        </w:rPr>
        <w:t>παρ</w:t>
      </w:r>
      <w:r w:rsidRPr="001C2BED">
        <w:rPr>
          <w:rFonts w:ascii="Times New Roman" w:hAnsi="Times New Roman" w:cs="Times New Roman"/>
          <w:lang w:val="fr-FR"/>
        </w:rPr>
        <w:t>. 193.</w:t>
      </w:r>
    </w:p>
  </w:footnote>
  <w:footnote w:id="112">
    <w:p w:rsidR="00176031" w:rsidRPr="00405B4E"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ΔΕΚ</w:t>
      </w:r>
      <w:r w:rsidRPr="00405B4E">
        <w:rPr>
          <w:rFonts w:ascii="Times New Roman" w:hAnsi="Times New Roman" w:cs="Times New Roman"/>
        </w:rPr>
        <w:t xml:space="preserve"> </w:t>
      </w:r>
      <w:r w:rsidRPr="001C2BED">
        <w:rPr>
          <w:rFonts w:ascii="Times New Roman" w:hAnsi="Times New Roman" w:cs="Times New Roman"/>
          <w:lang w:val="fr-FR"/>
        </w:rPr>
        <w:t>C</w:t>
      </w:r>
      <w:r w:rsidRPr="00405B4E">
        <w:rPr>
          <w:rFonts w:ascii="Times New Roman" w:hAnsi="Times New Roman" w:cs="Times New Roman"/>
        </w:rPr>
        <w:t xml:space="preserve">-52/09, </w:t>
      </w:r>
      <w:r w:rsidRPr="001C2BED">
        <w:rPr>
          <w:rFonts w:ascii="Times New Roman" w:hAnsi="Times New Roman" w:cs="Times New Roman"/>
          <w:i/>
          <w:lang w:val="fr-FR"/>
        </w:rPr>
        <w:t>TeliaSonera</w:t>
      </w:r>
      <w:r w:rsidRPr="00405B4E">
        <w:rPr>
          <w:rFonts w:ascii="Times New Roman" w:hAnsi="Times New Roman" w:cs="Times New Roman"/>
          <w:i/>
        </w:rPr>
        <w:t xml:space="preserve">, </w:t>
      </w:r>
      <w:r w:rsidRPr="001C2BED">
        <w:rPr>
          <w:rFonts w:ascii="Times New Roman" w:hAnsi="Times New Roman" w:cs="Times New Roman"/>
        </w:rPr>
        <w:t>Συλλογή</w:t>
      </w:r>
      <w:r w:rsidRPr="00405B4E">
        <w:rPr>
          <w:rFonts w:ascii="Times New Roman" w:hAnsi="Times New Roman" w:cs="Times New Roman"/>
        </w:rPr>
        <w:t xml:space="preserve"> 2011, </w:t>
      </w:r>
      <w:r w:rsidRPr="001C2BED">
        <w:rPr>
          <w:rFonts w:ascii="Times New Roman" w:hAnsi="Times New Roman" w:cs="Times New Roman"/>
        </w:rPr>
        <w:t>σελ</w:t>
      </w:r>
      <w:r w:rsidRPr="00405B4E">
        <w:rPr>
          <w:rFonts w:ascii="Times New Roman" w:hAnsi="Times New Roman" w:cs="Times New Roman"/>
        </w:rPr>
        <w:t xml:space="preserve">. </w:t>
      </w:r>
      <w:r w:rsidRPr="001C2BED">
        <w:rPr>
          <w:rFonts w:ascii="Times New Roman" w:hAnsi="Times New Roman" w:cs="Times New Roman"/>
        </w:rPr>
        <w:t>Ι</w:t>
      </w:r>
      <w:r w:rsidRPr="00405B4E">
        <w:rPr>
          <w:rFonts w:ascii="Times New Roman" w:hAnsi="Times New Roman" w:cs="Times New Roman"/>
        </w:rPr>
        <w:t xml:space="preserve">-527, </w:t>
      </w:r>
      <w:r w:rsidRPr="001C2BED">
        <w:rPr>
          <w:rFonts w:ascii="Times New Roman" w:hAnsi="Times New Roman" w:cs="Times New Roman"/>
        </w:rPr>
        <w:t>παρ</w:t>
      </w:r>
      <w:r w:rsidRPr="00405B4E">
        <w:rPr>
          <w:rFonts w:ascii="Times New Roman" w:hAnsi="Times New Roman" w:cs="Times New Roman"/>
        </w:rPr>
        <w:t>. 46.</w:t>
      </w:r>
    </w:p>
  </w:footnote>
  <w:footnote w:id="113">
    <w:p w:rsidR="00176031" w:rsidRPr="00405B4E"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spellStart"/>
      <w:r w:rsidRPr="001C2BED">
        <w:rPr>
          <w:rFonts w:ascii="Times New Roman" w:hAnsi="Times New Roman" w:cs="Times New Roman"/>
          <w:i/>
          <w:lang w:val="fr-FR"/>
        </w:rPr>
        <w:t>Ibid</w:t>
      </w:r>
      <w:proofErr w:type="spellEnd"/>
      <w:r w:rsidRPr="00405B4E">
        <w:rPr>
          <w:rFonts w:ascii="Times New Roman" w:hAnsi="Times New Roman" w:cs="Times New Roman"/>
        </w:rPr>
        <w:t xml:space="preserve">, </w:t>
      </w:r>
      <w:r w:rsidRPr="001C2BED">
        <w:rPr>
          <w:rFonts w:ascii="Times New Roman" w:hAnsi="Times New Roman" w:cs="Times New Roman"/>
        </w:rPr>
        <w:t>παρ</w:t>
      </w:r>
      <w:r w:rsidRPr="00405B4E">
        <w:rPr>
          <w:rFonts w:ascii="Times New Roman" w:hAnsi="Times New Roman" w:cs="Times New Roman"/>
        </w:rPr>
        <w:t>. 45.</w:t>
      </w:r>
    </w:p>
  </w:footnote>
  <w:footnote w:id="114">
    <w:p w:rsidR="00176031" w:rsidRPr="00405B4E"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ΔΕΚ</w:t>
      </w:r>
      <w:r w:rsidRPr="00405B4E">
        <w:rPr>
          <w:rFonts w:ascii="Times New Roman" w:hAnsi="Times New Roman" w:cs="Times New Roman"/>
        </w:rPr>
        <w:t xml:space="preserve"> </w:t>
      </w:r>
      <w:r w:rsidRPr="001C2BED">
        <w:rPr>
          <w:rFonts w:ascii="Times New Roman" w:hAnsi="Times New Roman" w:cs="Times New Roman"/>
          <w:lang w:val="fr-FR"/>
        </w:rPr>
        <w:t>C</w:t>
      </w:r>
      <w:r w:rsidRPr="00405B4E">
        <w:rPr>
          <w:rFonts w:ascii="Times New Roman" w:hAnsi="Times New Roman" w:cs="Times New Roman"/>
        </w:rPr>
        <w:t xml:space="preserve">-6/73 </w:t>
      </w:r>
      <w:r w:rsidRPr="001C2BED">
        <w:rPr>
          <w:rFonts w:ascii="Times New Roman" w:hAnsi="Times New Roman" w:cs="Times New Roman"/>
        </w:rPr>
        <w:t>και</w:t>
      </w:r>
      <w:r w:rsidRPr="00405B4E">
        <w:rPr>
          <w:rFonts w:ascii="Times New Roman" w:hAnsi="Times New Roman" w:cs="Times New Roman"/>
        </w:rPr>
        <w:t xml:space="preserve"> </w:t>
      </w:r>
      <w:r w:rsidRPr="001C2BED">
        <w:rPr>
          <w:rFonts w:ascii="Times New Roman" w:hAnsi="Times New Roman" w:cs="Times New Roman"/>
          <w:lang w:val="fr-FR"/>
        </w:rPr>
        <w:t>C</w:t>
      </w:r>
      <w:r w:rsidRPr="00405B4E">
        <w:rPr>
          <w:rFonts w:ascii="Times New Roman" w:hAnsi="Times New Roman" w:cs="Times New Roman"/>
        </w:rPr>
        <w:t>-7/73 (</w:t>
      </w:r>
      <w:r w:rsidRPr="001C2BED">
        <w:rPr>
          <w:rFonts w:ascii="Times New Roman" w:hAnsi="Times New Roman" w:cs="Times New Roman"/>
        </w:rPr>
        <w:t>συνεκδ</w:t>
      </w:r>
      <w:r w:rsidRPr="00405B4E">
        <w:rPr>
          <w:rFonts w:ascii="Times New Roman" w:hAnsi="Times New Roman" w:cs="Times New Roman"/>
        </w:rPr>
        <w:t xml:space="preserve">. </w:t>
      </w:r>
      <w:r w:rsidRPr="001C2BED">
        <w:rPr>
          <w:rFonts w:ascii="Times New Roman" w:hAnsi="Times New Roman" w:cs="Times New Roman"/>
        </w:rPr>
        <w:t>υποθ</w:t>
      </w:r>
      <w:r w:rsidRPr="00405B4E">
        <w:rPr>
          <w:rFonts w:ascii="Times New Roman" w:hAnsi="Times New Roman" w:cs="Times New Roman"/>
        </w:rPr>
        <w:t xml:space="preserve">.), </w:t>
      </w:r>
      <w:r w:rsidRPr="001C2BED">
        <w:rPr>
          <w:rFonts w:ascii="Times New Roman" w:hAnsi="Times New Roman" w:cs="Times New Roman"/>
          <w:i/>
          <w:lang w:val="fr-FR"/>
        </w:rPr>
        <w:t>ICI</w:t>
      </w:r>
      <w:r w:rsidRPr="00405B4E">
        <w:rPr>
          <w:rFonts w:ascii="Times New Roman" w:hAnsi="Times New Roman" w:cs="Times New Roman"/>
          <w:i/>
        </w:rPr>
        <w:t xml:space="preserve"> </w:t>
      </w:r>
      <w:r w:rsidRPr="001C2BED">
        <w:rPr>
          <w:rFonts w:ascii="Times New Roman" w:hAnsi="Times New Roman" w:cs="Times New Roman"/>
          <w:i/>
          <w:lang w:val="fr-FR"/>
        </w:rPr>
        <w:t>and</w:t>
      </w:r>
      <w:r w:rsidRPr="00405B4E">
        <w:rPr>
          <w:rFonts w:ascii="Times New Roman" w:hAnsi="Times New Roman" w:cs="Times New Roman"/>
          <w:i/>
        </w:rPr>
        <w:t xml:space="preserve"> </w:t>
      </w:r>
      <w:r w:rsidRPr="001C2BED">
        <w:rPr>
          <w:rFonts w:ascii="Times New Roman" w:hAnsi="Times New Roman" w:cs="Times New Roman"/>
          <w:i/>
          <w:lang w:val="fr-FR"/>
        </w:rPr>
        <w:t>Commercial</w:t>
      </w:r>
      <w:r w:rsidRPr="00405B4E">
        <w:rPr>
          <w:rFonts w:ascii="Times New Roman" w:hAnsi="Times New Roman" w:cs="Times New Roman"/>
          <w:i/>
        </w:rPr>
        <w:t xml:space="preserve"> </w:t>
      </w:r>
      <w:proofErr w:type="spellStart"/>
      <w:r w:rsidRPr="001C2BED">
        <w:rPr>
          <w:rFonts w:ascii="Times New Roman" w:hAnsi="Times New Roman" w:cs="Times New Roman"/>
          <w:i/>
          <w:lang w:val="fr-FR"/>
        </w:rPr>
        <w:t>Solvents</w:t>
      </w:r>
      <w:proofErr w:type="spellEnd"/>
      <w:r w:rsidRPr="00405B4E">
        <w:rPr>
          <w:rFonts w:ascii="Times New Roman" w:hAnsi="Times New Roman" w:cs="Times New Roman"/>
        </w:rPr>
        <w:t xml:space="preserve">, </w:t>
      </w:r>
      <w:r w:rsidRPr="001C2BED">
        <w:rPr>
          <w:rFonts w:ascii="Times New Roman" w:hAnsi="Times New Roman" w:cs="Times New Roman"/>
        </w:rPr>
        <w:t>Συλλογή</w:t>
      </w:r>
      <w:r w:rsidRPr="00405B4E">
        <w:rPr>
          <w:rFonts w:ascii="Times New Roman" w:hAnsi="Times New Roman" w:cs="Times New Roman"/>
        </w:rPr>
        <w:t xml:space="preserve"> 1974, </w:t>
      </w:r>
      <w:r w:rsidRPr="001C2BED">
        <w:rPr>
          <w:rFonts w:ascii="Times New Roman" w:hAnsi="Times New Roman" w:cs="Times New Roman"/>
        </w:rPr>
        <w:t>σελ</w:t>
      </w:r>
      <w:r w:rsidRPr="00405B4E">
        <w:rPr>
          <w:rFonts w:ascii="Times New Roman" w:hAnsi="Times New Roman" w:cs="Times New Roman"/>
        </w:rPr>
        <w:t>. 223.</w:t>
      </w:r>
    </w:p>
  </w:footnote>
  <w:footnote w:id="115">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r w:rsidRPr="001C2BED">
        <w:rPr>
          <w:rFonts w:ascii="Times New Roman" w:hAnsi="Times New Roman" w:cs="Times New Roman"/>
        </w:rPr>
        <w:t>ΔΕΚ</w:t>
      </w:r>
      <w:r w:rsidRPr="001C2BED">
        <w:rPr>
          <w:rFonts w:ascii="Times New Roman" w:hAnsi="Times New Roman" w:cs="Times New Roman"/>
          <w:lang w:val="en-US"/>
        </w:rPr>
        <w:t xml:space="preserve"> C-27/76, </w:t>
      </w:r>
      <w:r w:rsidRPr="001C2BED">
        <w:rPr>
          <w:rFonts w:ascii="Times New Roman" w:hAnsi="Times New Roman" w:cs="Times New Roman"/>
          <w:i/>
          <w:lang w:val="en-US"/>
        </w:rPr>
        <w:t>United Brands</w:t>
      </w:r>
      <w:r w:rsidRPr="001C2BED">
        <w:rPr>
          <w:rFonts w:ascii="Times New Roman" w:hAnsi="Times New Roman" w:cs="Times New Roman"/>
          <w:lang w:val="en-US"/>
        </w:rPr>
        <w:t xml:space="preserve">, </w:t>
      </w:r>
      <w:r w:rsidRPr="001C2BED">
        <w:rPr>
          <w:rFonts w:ascii="Times New Roman" w:hAnsi="Times New Roman" w:cs="Times New Roman"/>
        </w:rPr>
        <w:t>Συλλογή</w:t>
      </w:r>
      <w:r w:rsidRPr="001C2BED">
        <w:rPr>
          <w:rFonts w:ascii="Times New Roman" w:hAnsi="Times New Roman" w:cs="Times New Roman"/>
          <w:lang w:val="en-US"/>
        </w:rPr>
        <w:t xml:space="preserve"> 1978, </w:t>
      </w:r>
      <w:r w:rsidRPr="001C2BED">
        <w:rPr>
          <w:rFonts w:ascii="Times New Roman" w:hAnsi="Times New Roman" w:cs="Times New Roman"/>
        </w:rPr>
        <w:t>σελ</w:t>
      </w:r>
      <w:r w:rsidRPr="001C2BED">
        <w:rPr>
          <w:rFonts w:ascii="Times New Roman" w:hAnsi="Times New Roman" w:cs="Times New Roman"/>
          <w:lang w:val="en-US"/>
        </w:rPr>
        <w:t>. 207.</w:t>
      </w:r>
    </w:p>
  </w:footnote>
  <w:footnote w:id="116">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r w:rsidRPr="001C2BED">
        <w:rPr>
          <w:rFonts w:ascii="Times New Roman" w:hAnsi="Times New Roman" w:cs="Times New Roman"/>
        </w:rPr>
        <w:t>ΔΕΚ</w:t>
      </w:r>
      <w:r w:rsidRPr="001C2BED">
        <w:rPr>
          <w:rFonts w:ascii="Times New Roman" w:hAnsi="Times New Roman" w:cs="Times New Roman"/>
          <w:lang w:val="en-US"/>
        </w:rPr>
        <w:t xml:space="preserve"> C-77/77, </w:t>
      </w:r>
      <w:proofErr w:type="spellStart"/>
      <w:r w:rsidRPr="001C2BED">
        <w:rPr>
          <w:rFonts w:ascii="Times New Roman" w:hAnsi="Times New Roman" w:cs="Times New Roman"/>
          <w:i/>
          <w:lang w:val="en-US"/>
        </w:rPr>
        <w:t>Benzine</w:t>
      </w:r>
      <w:proofErr w:type="spellEnd"/>
      <w:r w:rsidRPr="001C2BED">
        <w:rPr>
          <w:rFonts w:ascii="Times New Roman" w:hAnsi="Times New Roman" w:cs="Times New Roman"/>
          <w:i/>
          <w:lang w:val="en-US"/>
        </w:rPr>
        <w:t xml:space="preserve"> en Petroleum, </w:t>
      </w:r>
      <w:r w:rsidRPr="001C2BED">
        <w:rPr>
          <w:rFonts w:ascii="Times New Roman" w:hAnsi="Times New Roman" w:cs="Times New Roman"/>
        </w:rPr>
        <w:t>Συλλογή</w:t>
      </w:r>
      <w:r w:rsidRPr="001C2BED">
        <w:rPr>
          <w:rFonts w:ascii="Times New Roman" w:hAnsi="Times New Roman" w:cs="Times New Roman"/>
          <w:lang w:val="en-US"/>
        </w:rPr>
        <w:t xml:space="preserve"> 1978, </w:t>
      </w:r>
      <w:r w:rsidRPr="001C2BED">
        <w:rPr>
          <w:rFonts w:ascii="Times New Roman" w:hAnsi="Times New Roman" w:cs="Times New Roman"/>
        </w:rPr>
        <w:t>σελ</w:t>
      </w:r>
      <w:r w:rsidRPr="001C2BED">
        <w:rPr>
          <w:rFonts w:ascii="Times New Roman" w:hAnsi="Times New Roman" w:cs="Times New Roman"/>
          <w:lang w:val="en-US"/>
        </w:rPr>
        <w:t>. 1513.</w:t>
      </w:r>
    </w:p>
  </w:footnote>
  <w:footnote w:id="117">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r w:rsidRPr="001C2BED">
        <w:rPr>
          <w:rFonts w:ascii="Times New Roman" w:hAnsi="Times New Roman" w:cs="Times New Roman"/>
        </w:rPr>
        <w:t>ΔΕΚ</w:t>
      </w:r>
      <w:r w:rsidRPr="001C2BED">
        <w:rPr>
          <w:rFonts w:ascii="Times New Roman" w:hAnsi="Times New Roman" w:cs="Times New Roman"/>
          <w:lang w:val="en-US"/>
        </w:rPr>
        <w:t xml:space="preserve"> C-311/84, </w:t>
      </w:r>
      <w:proofErr w:type="spellStart"/>
      <w:r w:rsidRPr="001C2BED">
        <w:rPr>
          <w:rFonts w:ascii="Times New Roman" w:hAnsi="Times New Roman" w:cs="Times New Roman"/>
          <w:i/>
          <w:lang w:val="en-US"/>
        </w:rPr>
        <w:t>Télémarketing</w:t>
      </w:r>
      <w:proofErr w:type="spellEnd"/>
      <w:r w:rsidRPr="001C2BED">
        <w:rPr>
          <w:rFonts w:ascii="Times New Roman" w:hAnsi="Times New Roman" w:cs="Times New Roman"/>
          <w:i/>
          <w:lang w:val="en-US"/>
        </w:rPr>
        <w:t xml:space="preserve">, </w:t>
      </w:r>
      <w:r w:rsidRPr="001C2BED">
        <w:rPr>
          <w:rFonts w:ascii="Times New Roman" w:hAnsi="Times New Roman" w:cs="Times New Roman"/>
        </w:rPr>
        <w:t>Συλλογή</w:t>
      </w:r>
      <w:r w:rsidRPr="001C2BED">
        <w:rPr>
          <w:rFonts w:ascii="Times New Roman" w:hAnsi="Times New Roman" w:cs="Times New Roman"/>
          <w:lang w:val="en-US"/>
        </w:rPr>
        <w:t xml:space="preserve"> 1985, </w:t>
      </w:r>
      <w:r w:rsidRPr="001C2BED">
        <w:rPr>
          <w:rFonts w:ascii="Times New Roman" w:hAnsi="Times New Roman" w:cs="Times New Roman"/>
        </w:rPr>
        <w:t>σελ</w:t>
      </w:r>
      <w:r w:rsidRPr="001C2BED">
        <w:rPr>
          <w:rFonts w:ascii="Times New Roman" w:hAnsi="Times New Roman" w:cs="Times New Roman"/>
          <w:lang w:val="en-US"/>
        </w:rPr>
        <w:t xml:space="preserve">. </w:t>
      </w:r>
      <w:proofErr w:type="gramStart"/>
      <w:r w:rsidRPr="001C2BED">
        <w:rPr>
          <w:rFonts w:ascii="Times New Roman" w:hAnsi="Times New Roman" w:cs="Times New Roman"/>
          <w:lang w:val="en-US"/>
        </w:rPr>
        <w:t xml:space="preserve">3261, </w:t>
      </w:r>
      <w:r w:rsidRPr="001C2BED">
        <w:rPr>
          <w:rFonts w:ascii="Times New Roman" w:hAnsi="Times New Roman" w:cs="Times New Roman"/>
        </w:rPr>
        <w:t>παρ</w:t>
      </w:r>
      <w:r w:rsidRPr="001C2BED">
        <w:rPr>
          <w:rFonts w:ascii="Times New Roman" w:hAnsi="Times New Roman" w:cs="Times New Roman"/>
          <w:lang w:val="en-US"/>
        </w:rPr>
        <w:t>.</w:t>
      </w:r>
      <w:proofErr w:type="gramEnd"/>
      <w:r w:rsidRPr="001C2BED">
        <w:rPr>
          <w:rFonts w:ascii="Times New Roman" w:hAnsi="Times New Roman" w:cs="Times New Roman"/>
          <w:lang w:val="en-US"/>
        </w:rPr>
        <w:t xml:space="preserve"> 27.</w:t>
      </w:r>
    </w:p>
  </w:footnote>
  <w:footnote w:id="118">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r w:rsidRPr="001C2BED">
        <w:rPr>
          <w:rFonts w:ascii="Times New Roman" w:hAnsi="Times New Roman" w:cs="Times New Roman"/>
        </w:rPr>
        <w:t>ΠΕΚΤ</w:t>
      </w:r>
      <w:r w:rsidRPr="001C2BED">
        <w:rPr>
          <w:rFonts w:ascii="Times New Roman" w:hAnsi="Times New Roman" w:cs="Times New Roman"/>
          <w:lang w:val="en-US"/>
        </w:rPr>
        <w:t xml:space="preserve">-504/93, </w:t>
      </w:r>
      <w:proofErr w:type="spellStart"/>
      <w:r w:rsidRPr="001C2BED">
        <w:rPr>
          <w:rFonts w:ascii="Times New Roman" w:hAnsi="Times New Roman" w:cs="Times New Roman"/>
          <w:i/>
          <w:lang w:val="en-US"/>
        </w:rPr>
        <w:t>Tiercé</w:t>
      </w:r>
      <w:proofErr w:type="spellEnd"/>
      <w:r w:rsidRPr="001C2BED">
        <w:rPr>
          <w:rFonts w:ascii="Times New Roman" w:hAnsi="Times New Roman" w:cs="Times New Roman"/>
          <w:i/>
          <w:lang w:val="en-US"/>
        </w:rPr>
        <w:t xml:space="preserve"> Ladbroke</w:t>
      </w:r>
      <w:r w:rsidRPr="001C2BED">
        <w:rPr>
          <w:rFonts w:ascii="Times New Roman" w:hAnsi="Times New Roman" w:cs="Times New Roman"/>
          <w:lang w:val="en-US"/>
        </w:rPr>
        <w:t xml:space="preserve">, </w:t>
      </w:r>
      <w:r w:rsidRPr="001C2BED">
        <w:rPr>
          <w:rFonts w:ascii="Times New Roman" w:hAnsi="Times New Roman" w:cs="Times New Roman"/>
        </w:rPr>
        <w:t>Συλλογή</w:t>
      </w:r>
      <w:r w:rsidRPr="001C2BED">
        <w:rPr>
          <w:rFonts w:ascii="Times New Roman" w:hAnsi="Times New Roman" w:cs="Times New Roman"/>
          <w:lang w:val="en-US"/>
        </w:rPr>
        <w:t xml:space="preserve"> 1997, </w:t>
      </w:r>
      <w:r w:rsidRPr="001C2BED">
        <w:rPr>
          <w:rFonts w:ascii="Times New Roman" w:hAnsi="Times New Roman" w:cs="Times New Roman"/>
        </w:rPr>
        <w:t>σελ</w:t>
      </w:r>
      <w:r w:rsidRPr="001C2BED">
        <w:rPr>
          <w:rFonts w:ascii="Times New Roman" w:hAnsi="Times New Roman" w:cs="Times New Roman"/>
          <w:lang w:val="en-US"/>
        </w:rPr>
        <w:t xml:space="preserve">. </w:t>
      </w:r>
      <w:r w:rsidRPr="001C2BED">
        <w:rPr>
          <w:rFonts w:ascii="Times New Roman" w:hAnsi="Times New Roman" w:cs="Times New Roman"/>
        </w:rPr>
        <w:t>ΙΙ</w:t>
      </w:r>
      <w:r w:rsidRPr="001C2BED">
        <w:rPr>
          <w:rFonts w:ascii="Times New Roman" w:hAnsi="Times New Roman" w:cs="Times New Roman"/>
          <w:lang w:val="en-US"/>
        </w:rPr>
        <w:t>-923.</w:t>
      </w:r>
    </w:p>
  </w:footnote>
  <w:footnote w:id="119">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r w:rsidRPr="001C2BED">
        <w:rPr>
          <w:rFonts w:ascii="Times New Roman" w:hAnsi="Times New Roman" w:cs="Times New Roman"/>
        </w:rPr>
        <w:t>ΔΕΚ</w:t>
      </w:r>
      <w:r w:rsidRPr="001C2BED">
        <w:rPr>
          <w:rFonts w:ascii="Times New Roman" w:hAnsi="Times New Roman" w:cs="Times New Roman"/>
          <w:lang w:val="en-US"/>
        </w:rPr>
        <w:t xml:space="preserve"> C-7/97, </w:t>
      </w:r>
      <w:r w:rsidRPr="001C2BED">
        <w:rPr>
          <w:rFonts w:ascii="Times New Roman" w:hAnsi="Times New Roman" w:cs="Times New Roman"/>
          <w:i/>
          <w:lang w:val="en-US"/>
        </w:rPr>
        <w:t xml:space="preserve">Oscar </w:t>
      </w:r>
      <w:proofErr w:type="spellStart"/>
      <w:r w:rsidRPr="001C2BED">
        <w:rPr>
          <w:rFonts w:ascii="Times New Roman" w:hAnsi="Times New Roman" w:cs="Times New Roman"/>
          <w:i/>
          <w:lang w:val="en-US"/>
        </w:rPr>
        <w:t>Bronner</w:t>
      </w:r>
      <w:proofErr w:type="spellEnd"/>
      <w:r w:rsidRPr="001C2BED">
        <w:rPr>
          <w:rFonts w:ascii="Times New Roman" w:hAnsi="Times New Roman" w:cs="Times New Roman"/>
          <w:lang w:val="en-US"/>
        </w:rPr>
        <w:t xml:space="preserve">, </w:t>
      </w:r>
      <w:r w:rsidRPr="001C2BED">
        <w:rPr>
          <w:rFonts w:ascii="Times New Roman" w:hAnsi="Times New Roman" w:cs="Times New Roman"/>
        </w:rPr>
        <w:t>Συλλογή</w:t>
      </w:r>
      <w:r w:rsidRPr="001C2BED">
        <w:rPr>
          <w:rFonts w:ascii="Times New Roman" w:hAnsi="Times New Roman" w:cs="Times New Roman"/>
          <w:lang w:val="en-US"/>
        </w:rPr>
        <w:t xml:space="preserve"> 1998, </w:t>
      </w:r>
      <w:r w:rsidRPr="001C2BED">
        <w:rPr>
          <w:rFonts w:ascii="Times New Roman" w:hAnsi="Times New Roman" w:cs="Times New Roman"/>
        </w:rPr>
        <w:t>σελ</w:t>
      </w:r>
      <w:r w:rsidRPr="001C2BED">
        <w:rPr>
          <w:rFonts w:ascii="Times New Roman" w:hAnsi="Times New Roman" w:cs="Times New Roman"/>
          <w:lang w:val="en-US"/>
        </w:rPr>
        <w:t xml:space="preserve">. </w:t>
      </w:r>
      <w:r w:rsidRPr="001C2BED">
        <w:rPr>
          <w:rFonts w:ascii="Times New Roman" w:hAnsi="Times New Roman" w:cs="Times New Roman"/>
        </w:rPr>
        <w:t>Ι</w:t>
      </w:r>
      <w:r w:rsidRPr="001C2BED">
        <w:rPr>
          <w:rFonts w:ascii="Times New Roman" w:hAnsi="Times New Roman" w:cs="Times New Roman"/>
          <w:lang w:val="en-US"/>
        </w:rPr>
        <w:t>-7791.</w:t>
      </w:r>
    </w:p>
  </w:footnote>
  <w:footnote w:id="120">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r w:rsidRPr="001C2BED">
        <w:rPr>
          <w:rFonts w:ascii="Times New Roman" w:hAnsi="Times New Roman" w:cs="Times New Roman"/>
        </w:rPr>
        <w:t>ΠΕΚΤ</w:t>
      </w:r>
      <w:r w:rsidRPr="001C2BED">
        <w:rPr>
          <w:rFonts w:ascii="Times New Roman" w:hAnsi="Times New Roman" w:cs="Times New Roman"/>
          <w:lang w:val="en-US"/>
        </w:rPr>
        <w:t xml:space="preserve">-504/93, </w:t>
      </w:r>
      <w:proofErr w:type="spellStart"/>
      <w:r w:rsidRPr="001C2BED">
        <w:rPr>
          <w:rFonts w:ascii="Times New Roman" w:hAnsi="Times New Roman" w:cs="Times New Roman"/>
          <w:i/>
          <w:lang w:val="en-US"/>
        </w:rPr>
        <w:t>Tiercé</w:t>
      </w:r>
      <w:proofErr w:type="spellEnd"/>
      <w:r w:rsidRPr="001C2BED">
        <w:rPr>
          <w:rFonts w:ascii="Times New Roman" w:hAnsi="Times New Roman" w:cs="Times New Roman"/>
          <w:i/>
          <w:lang w:val="en-US"/>
        </w:rPr>
        <w:t xml:space="preserve"> Ladbroke</w:t>
      </w:r>
      <w:r w:rsidRPr="001C2BED">
        <w:rPr>
          <w:rFonts w:ascii="Times New Roman" w:hAnsi="Times New Roman" w:cs="Times New Roman"/>
          <w:lang w:val="en-US"/>
        </w:rPr>
        <w:t xml:space="preserve">, </w:t>
      </w:r>
      <w:r w:rsidRPr="001C2BED">
        <w:rPr>
          <w:rFonts w:ascii="Times New Roman" w:hAnsi="Times New Roman" w:cs="Times New Roman"/>
        </w:rPr>
        <w:t>Συλλογή</w:t>
      </w:r>
      <w:r w:rsidRPr="001C2BED">
        <w:rPr>
          <w:rFonts w:ascii="Times New Roman" w:hAnsi="Times New Roman" w:cs="Times New Roman"/>
          <w:lang w:val="en-US"/>
        </w:rPr>
        <w:t xml:space="preserve"> 1997, </w:t>
      </w:r>
      <w:r w:rsidRPr="001C2BED">
        <w:rPr>
          <w:rFonts w:ascii="Times New Roman" w:hAnsi="Times New Roman" w:cs="Times New Roman"/>
        </w:rPr>
        <w:t>σελ</w:t>
      </w:r>
      <w:r w:rsidRPr="001C2BED">
        <w:rPr>
          <w:rFonts w:ascii="Times New Roman" w:hAnsi="Times New Roman" w:cs="Times New Roman"/>
          <w:lang w:val="en-US"/>
        </w:rPr>
        <w:t xml:space="preserve">. </w:t>
      </w:r>
      <w:r w:rsidRPr="001C2BED">
        <w:rPr>
          <w:rFonts w:ascii="Times New Roman" w:hAnsi="Times New Roman" w:cs="Times New Roman"/>
        </w:rPr>
        <w:t>ΙΙ</w:t>
      </w:r>
      <w:r w:rsidRPr="001C2BED">
        <w:rPr>
          <w:rFonts w:ascii="Times New Roman" w:hAnsi="Times New Roman" w:cs="Times New Roman"/>
          <w:lang w:val="en-US"/>
        </w:rPr>
        <w:t xml:space="preserve">-923, </w:t>
      </w:r>
      <w:r w:rsidRPr="001C2BED">
        <w:rPr>
          <w:rFonts w:ascii="Times New Roman" w:hAnsi="Times New Roman" w:cs="Times New Roman"/>
        </w:rPr>
        <w:t>παρ</w:t>
      </w:r>
      <w:r w:rsidRPr="001C2BED">
        <w:rPr>
          <w:rFonts w:ascii="Times New Roman" w:hAnsi="Times New Roman" w:cs="Times New Roman"/>
          <w:lang w:val="en-US"/>
        </w:rPr>
        <w:t xml:space="preserve">. </w:t>
      </w:r>
      <w:proofErr w:type="gramStart"/>
      <w:r w:rsidRPr="001C2BED">
        <w:rPr>
          <w:rFonts w:ascii="Times New Roman" w:hAnsi="Times New Roman" w:cs="Times New Roman"/>
          <w:lang w:val="en-US"/>
        </w:rPr>
        <w:t>130-132 &amp; 160.</w:t>
      </w:r>
      <w:proofErr w:type="gramEnd"/>
    </w:p>
  </w:footnote>
  <w:footnote w:id="121">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ΔΕΚ</w:t>
      </w:r>
      <w:r w:rsidRPr="001C2BED">
        <w:rPr>
          <w:rFonts w:ascii="Times New Roman" w:hAnsi="Times New Roman" w:cs="Times New Roman"/>
          <w:lang w:val="en-US"/>
        </w:rPr>
        <w:t xml:space="preserve"> C-7/97, </w:t>
      </w:r>
      <w:r w:rsidRPr="001C2BED">
        <w:rPr>
          <w:rFonts w:ascii="Times New Roman" w:hAnsi="Times New Roman" w:cs="Times New Roman"/>
          <w:i/>
          <w:lang w:val="en-US"/>
        </w:rPr>
        <w:t xml:space="preserve">Oscar </w:t>
      </w:r>
      <w:proofErr w:type="spellStart"/>
      <w:r w:rsidRPr="001C2BED">
        <w:rPr>
          <w:rFonts w:ascii="Times New Roman" w:hAnsi="Times New Roman" w:cs="Times New Roman"/>
          <w:i/>
          <w:lang w:val="en-US"/>
        </w:rPr>
        <w:t>Bronner</w:t>
      </w:r>
      <w:proofErr w:type="spellEnd"/>
      <w:r w:rsidRPr="001C2BED">
        <w:rPr>
          <w:rFonts w:ascii="Times New Roman" w:hAnsi="Times New Roman" w:cs="Times New Roman"/>
          <w:lang w:val="en-US"/>
        </w:rPr>
        <w:t xml:space="preserve">, </w:t>
      </w:r>
      <w:r w:rsidRPr="001C2BED">
        <w:rPr>
          <w:rFonts w:ascii="Times New Roman" w:hAnsi="Times New Roman" w:cs="Times New Roman"/>
        </w:rPr>
        <w:t>Συλλογή</w:t>
      </w:r>
      <w:r w:rsidRPr="001C2BED">
        <w:rPr>
          <w:rFonts w:ascii="Times New Roman" w:hAnsi="Times New Roman" w:cs="Times New Roman"/>
          <w:lang w:val="en-US"/>
        </w:rPr>
        <w:t xml:space="preserve"> 1998, </w:t>
      </w:r>
      <w:r w:rsidRPr="001C2BED">
        <w:rPr>
          <w:rFonts w:ascii="Times New Roman" w:hAnsi="Times New Roman" w:cs="Times New Roman"/>
        </w:rPr>
        <w:t>σελ</w:t>
      </w:r>
      <w:r w:rsidRPr="001C2BED">
        <w:rPr>
          <w:rFonts w:ascii="Times New Roman" w:hAnsi="Times New Roman" w:cs="Times New Roman"/>
          <w:lang w:val="en-US"/>
        </w:rPr>
        <w:t xml:space="preserve">. </w:t>
      </w:r>
      <w:r w:rsidRPr="001C2BED">
        <w:rPr>
          <w:rFonts w:ascii="Times New Roman" w:hAnsi="Times New Roman" w:cs="Times New Roman"/>
        </w:rPr>
        <w:t>Ι-7791, παρ. 41.</w:t>
      </w:r>
    </w:p>
  </w:footnote>
  <w:footnote w:id="122">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43.</w:t>
      </w:r>
    </w:p>
  </w:footnote>
  <w:footnote w:id="123">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44.</w:t>
      </w:r>
    </w:p>
  </w:footnote>
  <w:footnote w:id="124">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45-46.</w:t>
      </w:r>
    </w:p>
  </w:footnote>
  <w:footnote w:id="125">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 xml:space="preserve">-418/01, </w:t>
      </w:r>
      <w:r w:rsidRPr="001C2BED">
        <w:rPr>
          <w:rFonts w:ascii="Times New Roman" w:hAnsi="Times New Roman" w:cs="Times New Roman"/>
          <w:i/>
          <w:lang w:val="en-US"/>
        </w:rPr>
        <w:t>IMSHealth</w:t>
      </w:r>
      <w:r w:rsidRPr="001C2BED">
        <w:rPr>
          <w:rFonts w:ascii="Times New Roman" w:hAnsi="Times New Roman" w:cs="Times New Roman"/>
        </w:rPr>
        <w:t>, Συλλογή 2004, σελ. Ι-5039.</w:t>
      </w:r>
    </w:p>
  </w:footnote>
  <w:footnote w:id="126">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30.</w:t>
      </w:r>
    </w:p>
  </w:footnote>
  <w:footnote w:id="127">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29.</w:t>
      </w:r>
    </w:p>
  </w:footnote>
  <w:footnote w:id="128">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w:t>
      </w:r>
      <w:r w:rsidRPr="001C2BED">
        <w:rPr>
          <w:rFonts w:ascii="Times New Roman" w:hAnsi="Times New Roman" w:cs="Times New Roman"/>
          <w:lang w:val="en-US"/>
        </w:rPr>
        <w:t>T</w:t>
      </w:r>
      <w:r w:rsidRPr="001C2BED">
        <w:rPr>
          <w:rFonts w:ascii="Times New Roman" w:hAnsi="Times New Roman" w:cs="Times New Roman"/>
        </w:rPr>
        <w:t xml:space="preserve">-69/89, </w:t>
      </w:r>
      <w:r w:rsidRPr="001C2BED">
        <w:rPr>
          <w:rFonts w:ascii="Times New Roman" w:hAnsi="Times New Roman" w:cs="Times New Roman"/>
          <w:i/>
          <w:lang w:val="en-US"/>
        </w:rPr>
        <w:t>RTE</w:t>
      </w:r>
      <w:r w:rsidRPr="001C2BED">
        <w:rPr>
          <w:rFonts w:ascii="Times New Roman" w:hAnsi="Times New Roman" w:cs="Times New Roman"/>
        </w:rPr>
        <w:t xml:space="preserve">, Συλλογή 1991, σελ. </w:t>
      </w:r>
      <w:proofErr w:type="gramStart"/>
      <w:r w:rsidRPr="001C2BED">
        <w:rPr>
          <w:rFonts w:ascii="Times New Roman" w:hAnsi="Times New Roman" w:cs="Times New Roman"/>
          <w:lang w:val="en-US"/>
        </w:rPr>
        <w:t>II</w:t>
      </w:r>
      <w:r w:rsidRPr="001C2BED">
        <w:rPr>
          <w:rFonts w:ascii="Times New Roman" w:hAnsi="Times New Roman" w:cs="Times New Roman"/>
        </w:rPr>
        <w:t xml:space="preserve">-485· ΔΕΚ </w:t>
      </w:r>
      <w:r w:rsidRPr="001C2BED">
        <w:rPr>
          <w:rFonts w:ascii="Times New Roman" w:hAnsi="Times New Roman" w:cs="Times New Roman"/>
          <w:lang w:val="en-US"/>
        </w:rPr>
        <w:t>C</w:t>
      </w:r>
      <w:r w:rsidRPr="001C2BED">
        <w:rPr>
          <w:rFonts w:ascii="Times New Roman" w:hAnsi="Times New Roman" w:cs="Times New Roman"/>
        </w:rPr>
        <w:t xml:space="preserve">-241/91 </w:t>
      </w:r>
      <w:r w:rsidRPr="001C2BED">
        <w:rPr>
          <w:rFonts w:ascii="Times New Roman" w:hAnsi="Times New Roman" w:cs="Times New Roman"/>
          <w:lang w:val="en-US"/>
        </w:rPr>
        <w:t>P</w:t>
      </w:r>
      <w:r w:rsidRPr="001C2BED">
        <w:rPr>
          <w:rFonts w:ascii="Times New Roman" w:hAnsi="Times New Roman" w:cs="Times New Roman"/>
        </w:rPr>
        <w:t>&amp;</w:t>
      </w:r>
      <w:r w:rsidRPr="001C2BED">
        <w:rPr>
          <w:rFonts w:ascii="Times New Roman" w:hAnsi="Times New Roman" w:cs="Times New Roman"/>
          <w:lang w:val="en-US"/>
        </w:rPr>
        <w:t>C</w:t>
      </w:r>
      <w:r w:rsidRPr="001C2BED">
        <w:rPr>
          <w:rFonts w:ascii="Times New Roman" w:hAnsi="Times New Roman" w:cs="Times New Roman"/>
        </w:rPr>
        <w:t xml:space="preserve">-242/91 </w:t>
      </w:r>
      <w:r w:rsidRPr="001C2BED">
        <w:rPr>
          <w:rFonts w:ascii="Times New Roman" w:hAnsi="Times New Roman" w:cs="Times New Roman"/>
          <w:lang w:val="en-US"/>
        </w:rPr>
        <w:t>P</w:t>
      </w:r>
      <w:r w:rsidRPr="001C2BED">
        <w:rPr>
          <w:rFonts w:ascii="Times New Roman" w:hAnsi="Times New Roman" w:cs="Times New Roman"/>
        </w:rPr>
        <w:t xml:space="preserve"> </w:t>
      </w:r>
      <w:r w:rsidRPr="001C2BED">
        <w:rPr>
          <w:rFonts w:ascii="Times New Roman" w:hAnsi="Times New Roman" w:cs="Times New Roman"/>
        </w:rPr>
        <w:t xml:space="preserve">(συνεκδ. υποθ.), </w:t>
      </w:r>
      <w:r w:rsidRPr="001C2BED">
        <w:rPr>
          <w:rFonts w:ascii="Times New Roman" w:hAnsi="Times New Roman" w:cs="Times New Roman"/>
          <w:i/>
          <w:lang w:val="en-US"/>
        </w:rPr>
        <w:t>RTE</w:t>
      </w:r>
      <w:r w:rsidRPr="001C2BED">
        <w:rPr>
          <w:rFonts w:ascii="Times New Roman" w:hAnsi="Times New Roman" w:cs="Times New Roman"/>
          <w:i/>
        </w:rPr>
        <w:t>&amp;</w:t>
      </w:r>
      <w:r w:rsidRPr="001C2BED">
        <w:rPr>
          <w:rFonts w:ascii="Times New Roman" w:hAnsi="Times New Roman" w:cs="Times New Roman"/>
          <w:i/>
          <w:lang w:val="en-US"/>
        </w:rPr>
        <w:t>ITP</w:t>
      </w:r>
      <w:r w:rsidRPr="001C2BED">
        <w:rPr>
          <w:rFonts w:ascii="Times New Roman" w:hAnsi="Times New Roman" w:cs="Times New Roman"/>
        </w:rPr>
        <w:t>, Συλλογή 1995, σελ.</w:t>
      </w:r>
      <w:r w:rsidRPr="001C2BED">
        <w:rPr>
          <w:rFonts w:ascii="Times New Roman" w:hAnsi="Times New Roman" w:cs="Times New Roman"/>
          <w:lang w:val="en-US"/>
        </w:rPr>
        <w:t>I</w:t>
      </w:r>
      <w:r w:rsidRPr="001C2BED">
        <w:rPr>
          <w:rFonts w:ascii="Times New Roman" w:hAnsi="Times New Roman" w:cs="Times New Roman"/>
        </w:rPr>
        <w:t>-743.</w:t>
      </w:r>
      <w:proofErr w:type="gramEnd"/>
    </w:p>
  </w:footnote>
  <w:footnote w:id="129">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 xml:space="preserve">-241/91 </w:t>
      </w:r>
      <w:r w:rsidRPr="001C2BED">
        <w:rPr>
          <w:rFonts w:ascii="Times New Roman" w:hAnsi="Times New Roman" w:cs="Times New Roman"/>
          <w:lang w:val="en-US"/>
        </w:rPr>
        <w:t>P</w:t>
      </w:r>
      <w:r w:rsidRPr="001C2BED">
        <w:rPr>
          <w:rFonts w:ascii="Times New Roman" w:hAnsi="Times New Roman" w:cs="Times New Roman"/>
        </w:rPr>
        <w:t>&amp;</w:t>
      </w:r>
      <w:r w:rsidRPr="001C2BED">
        <w:rPr>
          <w:rFonts w:ascii="Times New Roman" w:hAnsi="Times New Roman" w:cs="Times New Roman"/>
          <w:lang w:val="en-US"/>
        </w:rPr>
        <w:t>C</w:t>
      </w:r>
      <w:r w:rsidRPr="001C2BED">
        <w:rPr>
          <w:rFonts w:ascii="Times New Roman" w:hAnsi="Times New Roman" w:cs="Times New Roman"/>
        </w:rPr>
        <w:t xml:space="preserve">-242/91 </w:t>
      </w:r>
      <w:r w:rsidRPr="001C2BED">
        <w:rPr>
          <w:rFonts w:ascii="Times New Roman" w:hAnsi="Times New Roman" w:cs="Times New Roman"/>
          <w:lang w:val="en-US"/>
        </w:rPr>
        <w:t>P</w:t>
      </w:r>
      <w:r w:rsidRPr="001C2BED">
        <w:rPr>
          <w:rFonts w:ascii="Times New Roman" w:hAnsi="Times New Roman" w:cs="Times New Roman"/>
        </w:rPr>
        <w:t xml:space="preserve"> </w:t>
      </w:r>
      <w:r w:rsidRPr="001C2BED">
        <w:rPr>
          <w:rFonts w:ascii="Times New Roman" w:hAnsi="Times New Roman" w:cs="Times New Roman"/>
        </w:rPr>
        <w:t xml:space="preserve">(συνεκδ. </w:t>
      </w:r>
      <w:r w:rsidRPr="001C2BED">
        <w:rPr>
          <w:rFonts w:ascii="Times New Roman" w:hAnsi="Times New Roman" w:cs="Times New Roman"/>
        </w:rPr>
        <w:t xml:space="preserve">υποθ.), </w:t>
      </w:r>
      <w:proofErr w:type="gramStart"/>
      <w:r w:rsidRPr="001C2BED">
        <w:rPr>
          <w:rFonts w:ascii="Times New Roman" w:hAnsi="Times New Roman" w:cs="Times New Roman"/>
          <w:i/>
          <w:lang w:val="en-US"/>
        </w:rPr>
        <w:t>RTE</w:t>
      </w:r>
      <w:r w:rsidRPr="001C2BED">
        <w:rPr>
          <w:rFonts w:ascii="Times New Roman" w:hAnsi="Times New Roman" w:cs="Times New Roman"/>
          <w:i/>
        </w:rPr>
        <w:t>&amp;</w:t>
      </w:r>
      <w:r w:rsidRPr="001C2BED">
        <w:rPr>
          <w:rFonts w:ascii="Times New Roman" w:hAnsi="Times New Roman" w:cs="Times New Roman"/>
          <w:i/>
          <w:lang w:val="en-US"/>
        </w:rPr>
        <w:t>ITP</w:t>
      </w:r>
      <w:r w:rsidRPr="001C2BED">
        <w:rPr>
          <w:rFonts w:ascii="Times New Roman" w:hAnsi="Times New Roman" w:cs="Times New Roman"/>
        </w:rPr>
        <w:t>, Συλλογή 1995, σελ.</w:t>
      </w:r>
      <w:r w:rsidRPr="001C2BED">
        <w:rPr>
          <w:rFonts w:ascii="Times New Roman" w:hAnsi="Times New Roman" w:cs="Times New Roman"/>
          <w:lang w:val="en-US"/>
        </w:rPr>
        <w:t>I</w:t>
      </w:r>
      <w:r w:rsidRPr="001C2BED">
        <w:rPr>
          <w:rFonts w:ascii="Times New Roman" w:hAnsi="Times New Roman" w:cs="Times New Roman"/>
        </w:rPr>
        <w:t>-743, παρ.</w:t>
      </w:r>
      <w:proofErr w:type="gramEnd"/>
      <w:r w:rsidRPr="001C2BED">
        <w:rPr>
          <w:rFonts w:ascii="Times New Roman" w:hAnsi="Times New Roman" w:cs="Times New Roman"/>
        </w:rPr>
        <w:t xml:space="preserve"> 54.</w:t>
      </w:r>
    </w:p>
  </w:footnote>
  <w:footnote w:id="130">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 xml:space="preserve">-418/01, </w:t>
      </w:r>
      <w:r w:rsidRPr="001C2BED">
        <w:rPr>
          <w:rFonts w:ascii="Times New Roman" w:hAnsi="Times New Roman" w:cs="Times New Roman"/>
          <w:i/>
          <w:lang w:val="en-US"/>
        </w:rPr>
        <w:t>IMSHealth</w:t>
      </w:r>
      <w:r w:rsidRPr="001C2BED">
        <w:rPr>
          <w:rFonts w:ascii="Times New Roman" w:hAnsi="Times New Roman" w:cs="Times New Roman"/>
        </w:rPr>
        <w:t>, Συλλογή 2004, σελ. Ι-5039, παρ. 48</w:t>
      </w:r>
    </w:p>
  </w:footnote>
  <w:footnote w:id="131">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i/>
          <w:lang w:val="en-US"/>
        </w:rPr>
        <w:t>Ibid</w:t>
      </w:r>
      <w:r w:rsidRPr="001C2BED">
        <w:rPr>
          <w:rFonts w:ascii="Times New Roman" w:hAnsi="Times New Roman" w:cs="Times New Roman"/>
        </w:rPr>
        <w:t>.</w:t>
      </w:r>
    </w:p>
  </w:footnote>
  <w:footnote w:id="132">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Τ-201/04, </w:t>
      </w:r>
      <w:r w:rsidRPr="001C2BED">
        <w:rPr>
          <w:rFonts w:ascii="Times New Roman" w:hAnsi="Times New Roman" w:cs="Times New Roman"/>
          <w:i/>
          <w:lang w:val="en-US"/>
        </w:rPr>
        <w:t>Microsoftv</w:t>
      </w:r>
      <w:r w:rsidRPr="001C2BED">
        <w:rPr>
          <w:rFonts w:ascii="Times New Roman" w:hAnsi="Times New Roman" w:cs="Times New Roman"/>
          <w:i/>
        </w:rPr>
        <w:t xml:space="preserve">. </w:t>
      </w:r>
      <w:proofErr w:type="gramStart"/>
      <w:r w:rsidRPr="001C2BED">
        <w:rPr>
          <w:rFonts w:ascii="Times New Roman" w:hAnsi="Times New Roman" w:cs="Times New Roman"/>
          <w:i/>
          <w:lang w:val="en-US"/>
        </w:rPr>
        <w:t>Commission</w:t>
      </w:r>
      <w:r w:rsidRPr="001C2BED">
        <w:rPr>
          <w:rFonts w:ascii="Times New Roman" w:hAnsi="Times New Roman" w:cs="Times New Roman"/>
        </w:rPr>
        <w:t>, Συλλογή 2007, σελ.</w:t>
      </w:r>
      <w:proofErr w:type="gramEnd"/>
      <w:r w:rsidRPr="001C2BED">
        <w:rPr>
          <w:rFonts w:ascii="Times New Roman" w:hAnsi="Times New Roman" w:cs="Times New Roman"/>
        </w:rPr>
        <w:t xml:space="preserve"> ΙΙ-3601.</w:t>
      </w:r>
    </w:p>
  </w:footnote>
  <w:footnote w:id="133">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559. Σύμφωνα με τη θεωρία της μόχλευσης, μια εταιρεία που παράγει πολλά προϊόντα και η οποία κατέχει μονοπωλιακή θέση στην αγορά ως προς ένα από αυτά μπορεί να μονοπωλήσει και μια άλλη αγορά η οποία σε διαφορετική περίπτωση θα ήταν ανταγωνιστική, χρησιμοποιώντας τη μόχλευση που της προσφέρει η δύναμη που κατέχει στην πρώτη αγορά.</w:t>
      </w:r>
    </w:p>
  </w:footnote>
  <w:footnote w:id="134">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Τ-201/04, </w:t>
      </w:r>
      <w:r w:rsidRPr="001C2BED">
        <w:rPr>
          <w:rFonts w:ascii="Times New Roman" w:hAnsi="Times New Roman" w:cs="Times New Roman"/>
          <w:i/>
          <w:lang w:val="en-US"/>
        </w:rPr>
        <w:t>Microsoftv</w:t>
      </w:r>
      <w:r w:rsidRPr="001C2BED">
        <w:rPr>
          <w:rFonts w:ascii="Times New Roman" w:hAnsi="Times New Roman" w:cs="Times New Roman"/>
          <w:i/>
        </w:rPr>
        <w:t xml:space="preserve">. </w:t>
      </w:r>
      <w:proofErr w:type="gramStart"/>
      <w:r w:rsidRPr="001C2BED">
        <w:rPr>
          <w:rFonts w:ascii="Times New Roman" w:hAnsi="Times New Roman" w:cs="Times New Roman"/>
          <w:i/>
          <w:lang w:val="en-US"/>
        </w:rPr>
        <w:t>Commission</w:t>
      </w:r>
      <w:r w:rsidRPr="001C2BED">
        <w:rPr>
          <w:rFonts w:ascii="Times New Roman" w:hAnsi="Times New Roman" w:cs="Times New Roman"/>
        </w:rPr>
        <w:t>, Συλλογή 2007, σελ.</w:t>
      </w:r>
      <w:proofErr w:type="gramEnd"/>
      <w:r w:rsidRPr="001C2BED">
        <w:rPr>
          <w:rFonts w:ascii="Times New Roman" w:hAnsi="Times New Roman" w:cs="Times New Roman"/>
        </w:rPr>
        <w:t xml:space="preserve"> ΙΙ-3601, παρ. 559.</w:t>
      </w:r>
    </w:p>
  </w:footnote>
  <w:footnote w:id="135">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562.</w:t>
      </w:r>
    </w:p>
  </w:footnote>
  <w:footnote w:id="136">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561.</w:t>
      </w:r>
    </w:p>
  </w:footnote>
  <w:footnote w:id="137">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w:t>
      </w:r>
      <w:r w:rsidRPr="001C2BED">
        <w:rPr>
          <w:rFonts w:ascii="Times New Roman" w:hAnsi="Times New Roman" w:cs="Times New Roman"/>
          <w:lang w:val="de-DE"/>
        </w:rPr>
        <w:t>T</w:t>
      </w:r>
      <w:r w:rsidRPr="001C2BED">
        <w:rPr>
          <w:rFonts w:ascii="Times New Roman" w:hAnsi="Times New Roman" w:cs="Times New Roman"/>
        </w:rPr>
        <w:t xml:space="preserve">-30/89, </w:t>
      </w:r>
      <w:r w:rsidRPr="001C2BED">
        <w:rPr>
          <w:rFonts w:ascii="Times New Roman" w:hAnsi="Times New Roman" w:cs="Times New Roman"/>
          <w:i/>
          <w:lang w:val="de-DE"/>
        </w:rPr>
        <w:t>Hilti</w:t>
      </w:r>
      <w:r w:rsidRPr="001C2BED">
        <w:rPr>
          <w:rFonts w:ascii="Times New Roman" w:hAnsi="Times New Roman" w:cs="Times New Roman"/>
        </w:rPr>
        <w:t>, Συλλογή 1991, σελ. ΙΙ-1439.</w:t>
      </w:r>
    </w:p>
  </w:footnote>
  <w:footnote w:id="138">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66.</w:t>
      </w:r>
    </w:p>
  </w:footnote>
  <w:footnote w:id="139">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68.</w:t>
      </w:r>
    </w:p>
  </w:footnote>
  <w:footnote w:id="140">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99-100.</w:t>
      </w:r>
    </w:p>
  </w:footnote>
  <w:footnote w:id="141">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102-107.</w:t>
      </w:r>
    </w:p>
  </w:footnote>
  <w:footnote w:id="142">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Τ-83/91, </w:t>
      </w:r>
      <w:proofErr w:type="spellStart"/>
      <w:r w:rsidRPr="001C2BED">
        <w:rPr>
          <w:rFonts w:ascii="Times New Roman" w:hAnsi="Times New Roman" w:cs="Times New Roman"/>
          <w:i/>
          <w:lang w:val="fr-FR"/>
        </w:rPr>
        <w:t>TetraPakII</w:t>
      </w:r>
      <w:proofErr w:type="spellEnd"/>
      <w:r w:rsidRPr="001C2BED">
        <w:rPr>
          <w:rFonts w:ascii="Times New Roman" w:hAnsi="Times New Roman" w:cs="Times New Roman"/>
        </w:rPr>
        <w:t>, Συλλογή 1994, σελ. ΙΙ-755.</w:t>
      </w:r>
    </w:p>
  </w:footnote>
  <w:footnote w:id="143">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137.</w:t>
      </w:r>
    </w:p>
  </w:footnote>
  <w:footnote w:id="144">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135. </w:t>
      </w:r>
    </w:p>
  </w:footnote>
  <w:footnote w:id="145">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140.</w:t>
      </w:r>
    </w:p>
  </w:footnote>
  <w:footnote w:id="146">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Τ-201/04, </w:t>
      </w:r>
      <w:r w:rsidRPr="001C2BED">
        <w:rPr>
          <w:rFonts w:ascii="Times New Roman" w:hAnsi="Times New Roman" w:cs="Times New Roman"/>
          <w:i/>
          <w:lang w:val="en-US"/>
        </w:rPr>
        <w:t>Microsoftv</w:t>
      </w:r>
      <w:r w:rsidRPr="001C2BED">
        <w:rPr>
          <w:rFonts w:ascii="Times New Roman" w:hAnsi="Times New Roman" w:cs="Times New Roman"/>
          <w:i/>
        </w:rPr>
        <w:t xml:space="preserve">. </w:t>
      </w:r>
      <w:proofErr w:type="gramStart"/>
      <w:r w:rsidRPr="001C2BED">
        <w:rPr>
          <w:rFonts w:ascii="Times New Roman" w:hAnsi="Times New Roman" w:cs="Times New Roman"/>
          <w:i/>
          <w:lang w:val="en-US"/>
        </w:rPr>
        <w:t>Commission</w:t>
      </w:r>
      <w:r w:rsidRPr="001C2BED">
        <w:rPr>
          <w:rFonts w:ascii="Times New Roman" w:hAnsi="Times New Roman" w:cs="Times New Roman"/>
        </w:rPr>
        <w:t>, Συλλογή 2007, σελ.</w:t>
      </w:r>
      <w:proofErr w:type="gramEnd"/>
      <w:r w:rsidRPr="001C2BED">
        <w:rPr>
          <w:rFonts w:ascii="Times New Roman" w:hAnsi="Times New Roman" w:cs="Times New Roman"/>
        </w:rPr>
        <w:t xml:space="preserve"> ΙΙ-3601.</w:t>
      </w:r>
    </w:p>
  </w:footnote>
  <w:footnote w:id="147">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842.</w:t>
      </w:r>
    </w:p>
  </w:footnote>
  <w:footnote w:id="148">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869.</w:t>
      </w:r>
    </w:p>
  </w:footnote>
  <w:footnote w:id="149">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975.</w:t>
      </w:r>
    </w:p>
  </w:footnote>
  <w:footnote w:id="150">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967-969.</w:t>
      </w:r>
    </w:p>
  </w:footnote>
  <w:footnote w:id="151">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1034.</w:t>
      </w:r>
    </w:p>
  </w:footnote>
  <w:footnote w:id="152">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1038.</w:t>
      </w:r>
    </w:p>
  </w:footnote>
  <w:footnote w:id="153">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1039.</w:t>
      </w:r>
    </w:p>
  </w:footnote>
  <w:footnote w:id="154">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1047.</w:t>
      </w:r>
    </w:p>
  </w:footnote>
  <w:footnote w:id="155">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1041-1042.</w:t>
      </w:r>
    </w:p>
  </w:footnote>
  <w:footnote w:id="156">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1062, 1064, 1070, 1071.</w:t>
      </w:r>
    </w:p>
  </w:footnote>
  <w:footnote w:id="157">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1167.</w:t>
      </w:r>
    </w:p>
  </w:footnote>
  <w:footnote w:id="158">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Πρόκειται για εκπτώσεις που εξαρτώνται από τον όρο ότι ο πελάτης προμηθεύεται το σύνολο ή σημαντικό μέρος των αναγκών του αποκλειστικά από την επιχείρηση που κατέχει δεσπόζουσα θέση. Οι εκπτώσεις αυτές μπορούν να εμφανιστούν με διάφορες μορφές, π.χ. ως σύστημα ανταμοιβής επιδόσεων, ως σύστημα πριμοδοτήσεων ή ως σύστημα εκπτώσεων στόχου.</w:t>
      </w:r>
    </w:p>
  </w:footnote>
  <w:footnote w:id="159">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r w:rsidRPr="001C2BED">
        <w:rPr>
          <w:rFonts w:ascii="Times New Roman" w:hAnsi="Times New Roman" w:cs="Times New Roman"/>
        </w:rPr>
        <w:t>ΔΕΚ</w:t>
      </w:r>
      <w:r w:rsidRPr="001C2BED">
        <w:rPr>
          <w:rFonts w:ascii="Times New Roman" w:hAnsi="Times New Roman" w:cs="Times New Roman"/>
          <w:lang w:val="en-US"/>
        </w:rPr>
        <w:t xml:space="preserve"> C-40 to 48, 50, 54 to 56, 111, 113 &amp; 114/73, </w:t>
      </w:r>
      <w:proofErr w:type="spellStart"/>
      <w:r w:rsidRPr="001C2BED">
        <w:rPr>
          <w:rFonts w:ascii="Times New Roman" w:hAnsi="Times New Roman" w:cs="Times New Roman"/>
          <w:i/>
          <w:lang w:val="en-US"/>
        </w:rPr>
        <w:t>SuikerUnie</w:t>
      </w:r>
      <w:proofErr w:type="spellEnd"/>
      <w:r w:rsidRPr="001C2BED">
        <w:rPr>
          <w:rFonts w:ascii="Times New Roman" w:hAnsi="Times New Roman" w:cs="Times New Roman"/>
          <w:i/>
          <w:lang w:val="en-US"/>
        </w:rPr>
        <w:t xml:space="preserve">, </w:t>
      </w:r>
      <w:r w:rsidRPr="001C2BED">
        <w:rPr>
          <w:rFonts w:ascii="Times New Roman" w:hAnsi="Times New Roman" w:cs="Times New Roman"/>
        </w:rPr>
        <w:t>Συλλογή</w:t>
      </w:r>
      <w:r w:rsidRPr="001C2BED">
        <w:rPr>
          <w:rFonts w:ascii="Times New Roman" w:hAnsi="Times New Roman" w:cs="Times New Roman"/>
          <w:lang w:val="en-US"/>
        </w:rPr>
        <w:t xml:space="preserve"> 1975, </w:t>
      </w:r>
      <w:r w:rsidRPr="001C2BED">
        <w:rPr>
          <w:rFonts w:ascii="Times New Roman" w:hAnsi="Times New Roman" w:cs="Times New Roman"/>
        </w:rPr>
        <w:t>σελ</w:t>
      </w:r>
      <w:r w:rsidRPr="001C2BED">
        <w:rPr>
          <w:rFonts w:ascii="Times New Roman" w:hAnsi="Times New Roman" w:cs="Times New Roman"/>
          <w:lang w:val="en-US"/>
        </w:rPr>
        <w:t>. 1663.</w:t>
      </w:r>
    </w:p>
  </w:footnote>
  <w:footnote w:id="160">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lang w:val="en-US"/>
        </w:rPr>
        <w:t xml:space="preserve">, </w:t>
      </w:r>
      <w:r w:rsidRPr="001C2BED">
        <w:rPr>
          <w:rFonts w:ascii="Times New Roman" w:hAnsi="Times New Roman" w:cs="Times New Roman"/>
        </w:rPr>
        <w:t>παρ</w:t>
      </w:r>
      <w:r w:rsidRPr="001C2BED">
        <w:rPr>
          <w:rFonts w:ascii="Times New Roman" w:hAnsi="Times New Roman" w:cs="Times New Roman"/>
          <w:lang w:val="en-US"/>
        </w:rPr>
        <w:t>.51, 526, 527.</w:t>
      </w:r>
      <w:proofErr w:type="gramEnd"/>
    </w:p>
  </w:footnote>
  <w:footnote w:id="161">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r w:rsidRPr="001C2BED">
        <w:rPr>
          <w:rFonts w:ascii="Times New Roman" w:hAnsi="Times New Roman" w:cs="Times New Roman"/>
        </w:rPr>
        <w:t>ΔΕΚ</w:t>
      </w:r>
      <w:r w:rsidRPr="001C2BED">
        <w:rPr>
          <w:rFonts w:ascii="Times New Roman" w:hAnsi="Times New Roman" w:cs="Times New Roman"/>
          <w:lang w:val="en-US"/>
        </w:rPr>
        <w:t xml:space="preserve"> C-85/76, </w:t>
      </w:r>
      <w:r w:rsidRPr="001C2BED">
        <w:rPr>
          <w:rFonts w:ascii="Times New Roman" w:hAnsi="Times New Roman" w:cs="Times New Roman"/>
          <w:i/>
          <w:lang w:val="en-US"/>
        </w:rPr>
        <w:t>Hoffmann-La Roche</w:t>
      </w:r>
      <w:r w:rsidRPr="001C2BED">
        <w:rPr>
          <w:rFonts w:ascii="Times New Roman" w:hAnsi="Times New Roman" w:cs="Times New Roman"/>
          <w:lang w:val="en-US"/>
        </w:rPr>
        <w:t xml:space="preserve">, </w:t>
      </w:r>
      <w:r w:rsidRPr="001C2BED">
        <w:rPr>
          <w:rFonts w:ascii="Times New Roman" w:hAnsi="Times New Roman" w:cs="Times New Roman"/>
        </w:rPr>
        <w:t>Συλλογή</w:t>
      </w:r>
      <w:r w:rsidRPr="001C2BED">
        <w:rPr>
          <w:rFonts w:ascii="Times New Roman" w:hAnsi="Times New Roman" w:cs="Times New Roman"/>
          <w:lang w:val="en-US"/>
        </w:rPr>
        <w:t xml:space="preserve"> 1979, </w:t>
      </w:r>
      <w:r w:rsidRPr="001C2BED">
        <w:rPr>
          <w:rFonts w:ascii="Times New Roman" w:hAnsi="Times New Roman" w:cs="Times New Roman"/>
        </w:rPr>
        <w:t>σελ</w:t>
      </w:r>
      <w:r w:rsidRPr="001C2BED">
        <w:rPr>
          <w:rFonts w:ascii="Times New Roman" w:hAnsi="Times New Roman" w:cs="Times New Roman"/>
          <w:lang w:val="en-US"/>
        </w:rPr>
        <w:t xml:space="preserve">. </w:t>
      </w:r>
      <w:proofErr w:type="gramStart"/>
      <w:r w:rsidRPr="001C2BED">
        <w:rPr>
          <w:rFonts w:ascii="Times New Roman" w:hAnsi="Times New Roman" w:cs="Times New Roman"/>
          <w:lang w:val="en-US"/>
        </w:rPr>
        <w:t xml:space="preserve">461, </w:t>
      </w:r>
      <w:r w:rsidRPr="001C2BED">
        <w:rPr>
          <w:rFonts w:ascii="Times New Roman" w:hAnsi="Times New Roman" w:cs="Times New Roman"/>
        </w:rPr>
        <w:t>παρ</w:t>
      </w:r>
      <w:r w:rsidRPr="001C2BED">
        <w:rPr>
          <w:rFonts w:ascii="Times New Roman" w:hAnsi="Times New Roman" w:cs="Times New Roman"/>
          <w:lang w:val="en-US"/>
        </w:rPr>
        <w:t>.</w:t>
      </w:r>
      <w:proofErr w:type="gramEnd"/>
      <w:r w:rsidRPr="001C2BED">
        <w:rPr>
          <w:rFonts w:ascii="Times New Roman" w:hAnsi="Times New Roman" w:cs="Times New Roman"/>
          <w:lang w:val="en-US"/>
        </w:rPr>
        <w:t xml:space="preserve"> 89.</w:t>
      </w:r>
    </w:p>
  </w:footnote>
  <w:footnote w:id="162">
    <w:p w:rsidR="00176031" w:rsidRPr="00405B4E" w:rsidRDefault="00176031" w:rsidP="001C2BED">
      <w:pPr>
        <w:pStyle w:val="FootnoteText"/>
        <w:jc w:val="both"/>
        <w:rPr>
          <w:rFonts w:ascii="Times New Roman" w:hAnsi="Times New Roman" w:cs="Times New Roman"/>
          <w:lang w:val="it-IT"/>
        </w:rPr>
      </w:pPr>
      <w:r w:rsidRPr="001C2BED">
        <w:rPr>
          <w:rStyle w:val="FootnoteReference"/>
          <w:rFonts w:ascii="Times New Roman" w:hAnsi="Times New Roman" w:cs="Times New Roman"/>
        </w:rPr>
        <w:footnoteRef/>
      </w:r>
      <w:r w:rsidRPr="00405B4E">
        <w:rPr>
          <w:rFonts w:ascii="Times New Roman" w:hAnsi="Times New Roman" w:cs="Times New Roman"/>
          <w:i/>
          <w:lang w:val="it-IT"/>
        </w:rPr>
        <w:t>Ibid</w:t>
      </w:r>
      <w:r w:rsidRPr="00405B4E">
        <w:rPr>
          <w:rFonts w:ascii="Times New Roman" w:hAnsi="Times New Roman" w:cs="Times New Roman"/>
          <w:lang w:val="it-IT"/>
        </w:rPr>
        <w:t>.</w:t>
      </w:r>
    </w:p>
  </w:footnote>
  <w:footnote w:id="163">
    <w:p w:rsidR="00176031" w:rsidRPr="00405B4E" w:rsidRDefault="00176031" w:rsidP="001C2BED">
      <w:pPr>
        <w:pStyle w:val="FootnoteText"/>
        <w:jc w:val="both"/>
        <w:rPr>
          <w:rFonts w:ascii="Times New Roman" w:hAnsi="Times New Roman" w:cs="Times New Roman"/>
          <w:lang w:val="it-IT"/>
        </w:rPr>
      </w:pPr>
      <w:r w:rsidRPr="001C2BED">
        <w:rPr>
          <w:rStyle w:val="FootnoteReference"/>
          <w:rFonts w:ascii="Times New Roman" w:hAnsi="Times New Roman" w:cs="Times New Roman"/>
        </w:rPr>
        <w:footnoteRef/>
      </w:r>
      <w:r w:rsidRPr="001C2BED">
        <w:rPr>
          <w:rFonts w:ascii="Times New Roman" w:hAnsi="Times New Roman" w:cs="Times New Roman"/>
        </w:rPr>
        <w:t>ΔΕΚ</w:t>
      </w:r>
      <w:r w:rsidRPr="00405B4E">
        <w:rPr>
          <w:rFonts w:ascii="Times New Roman" w:hAnsi="Times New Roman" w:cs="Times New Roman"/>
          <w:lang w:val="it-IT"/>
        </w:rPr>
        <w:t xml:space="preserve"> C-322/81, </w:t>
      </w:r>
      <w:r w:rsidRPr="00405B4E">
        <w:rPr>
          <w:rFonts w:ascii="Times New Roman" w:hAnsi="Times New Roman" w:cs="Times New Roman"/>
          <w:i/>
          <w:lang w:val="it-IT"/>
        </w:rPr>
        <w:t>Michelin I</w:t>
      </w:r>
      <w:r w:rsidRPr="00405B4E">
        <w:rPr>
          <w:rFonts w:ascii="Times New Roman" w:hAnsi="Times New Roman" w:cs="Times New Roman"/>
          <w:lang w:val="it-IT"/>
        </w:rPr>
        <w:t xml:space="preserve">, </w:t>
      </w:r>
      <w:r w:rsidRPr="001C2BED">
        <w:rPr>
          <w:rFonts w:ascii="Times New Roman" w:hAnsi="Times New Roman" w:cs="Times New Roman"/>
        </w:rPr>
        <w:t>Συλλογή</w:t>
      </w:r>
      <w:r w:rsidRPr="00405B4E">
        <w:rPr>
          <w:rFonts w:ascii="Times New Roman" w:hAnsi="Times New Roman" w:cs="Times New Roman"/>
          <w:lang w:val="it-IT"/>
        </w:rPr>
        <w:t xml:space="preserve"> 1983, </w:t>
      </w:r>
      <w:r w:rsidRPr="001C2BED">
        <w:rPr>
          <w:rFonts w:ascii="Times New Roman" w:hAnsi="Times New Roman" w:cs="Times New Roman"/>
        </w:rPr>
        <w:t>σελ</w:t>
      </w:r>
      <w:r w:rsidRPr="00405B4E">
        <w:rPr>
          <w:rFonts w:ascii="Times New Roman" w:hAnsi="Times New Roman" w:cs="Times New Roman"/>
          <w:lang w:val="it-IT"/>
        </w:rPr>
        <w:t>. 3461.</w:t>
      </w:r>
    </w:p>
  </w:footnote>
  <w:footnote w:id="164">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73.</w:t>
      </w:r>
    </w:p>
  </w:footnote>
  <w:footnote w:id="165">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Κατά τις συναφείς παραδοχές, «αναπόφευκτη συνέπεια κάθε συστήματος εκπτώσεων που χορηγούνται με βάση τις ποσότητες που πωλούνται κατά τη διάρκεια μιας σχετικώς μεγάλης περιόδου αναφοράς είναι η αύξηση της πιέσεως στον αγοραστή κατά το τέλος της περιόδου αναφοράς για να πραγματοποιήσει τον αριθμό αγορών που είναι αναγκαίος, προκειμένου να λάβει το όφελος ή να μη υποστεί τη ζημία που προβλέπεται για το σύνολο της περιόδου.» (παρ. 81)</w:t>
      </w:r>
    </w:p>
  </w:footnote>
  <w:footnote w:id="166">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 xml:space="preserve">-322/81, </w:t>
      </w:r>
      <w:r w:rsidRPr="001C2BED">
        <w:rPr>
          <w:rFonts w:ascii="Times New Roman" w:hAnsi="Times New Roman" w:cs="Times New Roman"/>
          <w:i/>
          <w:lang w:val="en-US"/>
        </w:rPr>
        <w:t>MichelinI</w:t>
      </w:r>
      <w:r w:rsidRPr="001C2BED">
        <w:rPr>
          <w:rFonts w:ascii="Times New Roman" w:hAnsi="Times New Roman" w:cs="Times New Roman"/>
        </w:rPr>
        <w:t>, Συλλογή 1983, σελ. 3461, παρ. 82-85.</w:t>
      </w:r>
    </w:p>
  </w:footnote>
  <w:footnote w:id="167">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Τ-65/89, </w:t>
      </w:r>
      <w:r w:rsidRPr="001C2BED">
        <w:rPr>
          <w:rFonts w:ascii="Times New Roman" w:hAnsi="Times New Roman" w:cs="Times New Roman"/>
          <w:i/>
          <w:lang w:val="en-US"/>
        </w:rPr>
        <w:t>BritishGypsum</w:t>
      </w:r>
      <w:r w:rsidRPr="001C2BED">
        <w:rPr>
          <w:rFonts w:ascii="Times New Roman" w:hAnsi="Times New Roman" w:cs="Times New Roman"/>
          <w:i/>
        </w:rPr>
        <w:t xml:space="preserve">, </w:t>
      </w:r>
      <w:r w:rsidRPr="001C2BED">
        <w:rPr>
          <w:rFonts w:ascii="Times New Roman" w:hAnsi="Times New Roman" w:cs="Times New Roman"/>
        </w:rPr>
        <w:t>Συλλογή 1993, σελ. ΙΙ-389.</w:t>
      </w:r>
    </w:p>
  </w:footnote>
  <w:footnote w:id="168">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66.</w:t>
      </w:r>
    </w:p>
  </w:footnote>
  <w:footnote w:id="169">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67.</w:t>
      </w:r>
    </w:p>
  </w:footnote>
  <w:footnote w:id="170">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73.</w:t>
      </w:r>
    </w:p>
  </w:footnote>
  <w:footnote w:id="171">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67.</w:t>
      </w:r>
    </w:p>
  </w:footnote>
  <w:footnote w:id="172">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Τ-228/97, </w:t>
      </w:r>
      <w:r w:rsidRPr="001C2BED">
        <w:rPr>
          <w:rFonts w:ascii="Times New Roman" w:hAnsi="Times New Roman" w:cs="Times New Roman"/>
          <w:lang w:val="en-US"/>
        </w:rPr>
        <w:t>IrishSugar</w:t>
      </w:r>
      <w:r w:rsidRPr="001C2BED">
        <w:rPr>
          <w:rFonts w:ascii="Times New Roman" w:hAnsi="Times New Roman" w:cs="Times New Roman"/>
        </w:rPr>
        <w:t>, Συλλογή 1999, σελ. ΙΙ-2969.</w:t>
      </w:r>
    </w:p>
  </w:footnote>
  <w:footnote w:id="173">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197.</w:t>
      </w:r>
    </w:p>
  </w:footnote>
  <w:footnote w:id="174">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Τ-219/99, </w:t>
      </w:r>
      <w:r w:rsidRPr="001C2BED">
        <w:rPr>
          <w:rFonts w:ascii="Times New Roman" w:hAnsi="Times New Roman" w:cs="Times New Roman"/>
          <w:i/>
          <w:lang w:val="en-US"/>
        </w:rPr>
        <w:t>BritishAirways</w:t>
      </w:r>
      <w:r w:rsidRPr="001C2BED">
        <w:rPr>
          <w:rFonts w:ascii="Times New Roman" w:hAnsi="Times New Roman" w:cs="Times New Roman"/>
          <w:i/>
        </w:rPr>
        <w:t xml:space="preserve">, </w:t>
      </w:r>
      <w:r w:rsidRPr="001C2BED">
        <w:rPr>
          <w:rFonts w:ascii="Times New Roman" w:hAnsi="Times New Roman" w:cs="Times New Roman"/>
        </w:rPr>
        <w:t>Συλλογή 2003, σελ. ΙΙ-5917, παρ. 270.</w:t>
      </w:r>
    </w:p>
  </w:footnote>
  <w:footnote w:id="175">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ΔΕΚ </w:t>
      </w:r>
      <w:r w:rsidRPr="001C2BED">
        <w:rPr>
          <w:rFonts w:ascii="Times New Roman" w:hAnsi="Times New Roman" w:cs="Times New Roman"/>
          <w:lang w:val="en-US"/>
        </w:rPr>
        <w:t>C</w:t>
      </w:r>
      <w:r w:rsidRPr="001C2BED">
        <w:rPr>
          <w:rFonts w:ascii="Times New Roman" w:hAnsi="Times New Roman" w:cs="Times New Roman"/>
        </w:rPr>
        <w:t>-95/04</w:t>
      </w:r>
      <w:r w:rsidRPr="001C2BED">
        <w:rPr>
          <w:rFonts w:ascii="Times New Roman" w:hAnsi="Times New Roman" w:cs="Times New Roman"/>
          <w:lang w:val="en-US"/>
        </w:rPr>
        <w:t>P</w:t>
      </w:r>
      <w:r w:rsidRPr="001C2BED">
        <w:rPr>
          <w:rFonts w:ascii="Times New Roman" w:hAnsi="Times New Roman" w:cs="Times New Roman"/>
        </w:rPr>
        <w:t xml:space="preserve">, </w:t>
      </w:r>
      <w:r w:rsidRPr="001C2BED">
        <w:rPr>
          <w:rFonts w:ascii="Times New Roman" w:hAnsi="Times New Roman" w:cs="Times New Roman"/>
          <w:i/>
          <w:lang w:val="en-US"/>
        </w:rPr>
        <w:t>BritishAirways</w:t>
      </w:r>
      <w:r w:rsidRPr="001C2BED">
        <w:rPr>
          <w:rFonts w:ascii="Times New Roman" w:hAnsi="Times New Roman" w:cs="Times New Roman"/>
        </w:rPr>
        <w:t xml:space="preserve">, Συλλογή 2007, σελ. </w:t>
      </w:r>
      <w:proofErr w:type="gramStart"/>
      <w:r w:rsidRPr="001C2BED">
        <w:rPr>
          <w:rFonts w:ascii="Times New Roman" w:hAnsi="Times New Roman" w:cs="Times New Roman"/>
          <w:lang w:val="en-US"/>
        </w:rPr>
        <w:t>I</w:t>
      </w:r>
      <w:r w:rsidRPr="001C2BED">
        <w:rPr>
          <w:rFonts w:ascii="Times New Roman" w:hAnsi="Times New Roman" w:cs="Times New Roman"/>
        </w:rPr>
        <w:t>-2331.</w:t>
      </w:r>
      <w:proofErr w:type="gramEnd"/>
    </w:p>
  </w:footnote>
  <w:footnote w:id="176">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68.</w:t>
      </w:r>
    </w:p>
  </w:footnote>
  <w:footnote w:id="177">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69.</w:t>
      </w:r>
    </w:p>
  </w:footnote>
  <w:footnote w:id="178">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69.</w:t>
      </w:r>
    </w:p>
  </w:footnote>
  <w:footnote w:id="179">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ΠΕΚΤ</w:t>
      </w:r>
      <w:r w:rsidRPr="001C2BED">
        <w:rPr>
          <w:rFonts w:ascii="Times New Roman" w:hAnsi="Times New Roman" w:cs="Times New Roman"/>
          <w:lang w:val="en-US"/>
        </w:rPr>
        <w:t xml:space="preserve">-219/99, </w:t>
      </w:r>
      <w:r w:rsidRPr="001C2BED">
        <w:rPr>
          <w:rFonts w:ascii="Times New Roman" w:hAnsi="Times New Roman" w:cs="Times New Roman"/>
          <w:i/>
          <w:lang w:val="en-US"/>
        </w:rPr>
        <w:t xml:space="preserve">British Airways, </w:t>
      </w:r>
      <w:r w:rsidRPr="001C2BED">
        <w:rPr>
          <w:rFonts w:ascii="Times New Roman" w:hAnsi="Times New Roman" w:cs="Times New Roman"/>
        </w:rPr>
        <w:t>Συλλογή</w:t>
      </w:r>
      <w:r w:rsidRPr="001C2BED">
        <w:rPr>
          <w:rFonts w:ascii="Times New Roman" w:hAnsi="Times New Roman" w:cs="Times New Roman"/>
          <w:lang w:val="en-US"/>
        </w:rPr>
        <w:t xml:space="preserve"> 2003, </w:t>
      </w:r>
      <w:r w:rsidRPr="001C2BED">
        <w:rPr>
          <w:rFonts w:ascii="Times New Roman" w:hAnsi="Times New Roman" w:cs="Times New Roman"/>
        </w:rPr>
        <w:t>σελ</w:t>
      </w:r>
      <w:r w:rsidRPr="001C2BED">
        <w:rPr>
          <w:rFonts w:ascii="Times New Roman" w:hAnsi="Times New Roman" w:cs="Times New Roman"/>
          <w:lang w:val="en-US"/>
        </w:rPr>
        <w:t xml:space="preserve">. </w:t>
      </w:r>
      <w:r w:rsidRPr="001C2BED">
        <w:rPr>
          <w:rFonts w:ascii="Times New Roman" w:hAnsi="Times New Roman" w:cs="Times New Roman"/>
        </w:rPr>
        <w:t>ΙΙ-5917, παρ. 290.</w:t>
      </w:r>
    </w:p>
  </w:footnote>
  <w:footnote w:id="180">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Τ-203/01, </w:t>
      </w:r>
      <w:r w:rsidRPr="001C2BED">
        <w:rPr>
          <w:rFonts w:ascii="Times New Roman" w:hAnsi="Times New Roman" w:cs="Times New Roman"/>
          <w:i/>
          <w:lang w:val="en-US"/>
        </w:rPr>
        <w:t>MichelleII</w:t>
      </w:r>
      <w:r w:rsidRPr="001C2BED">
        <w:rPr>
          <w:rFonts w:ascii="Times New Roman" w:hAnsi="Times New Roman" w:cs="Times New Roman"/>
        </w:rPr>
        <w:t>, Συλλογή 2003, σελ. ΙΙ-4071.</w:t>
      </w:r>
    </w:p>
  </w:footnote>
  <w:footnote w:id="181">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58.</w:t>
      </w:r>
    </w:p>
  </w:footnote>
  <w:footnote w:id="182">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59.</w:t>
      </w:r>
    </w:p>
  </w:footnote>
  <w:footnote w:id="183">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95.</w:t>
      </w:r>
    </w:p>
  </w:footnote>
  <w:footnote w:id="184">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110.</w:t>
      </w:r>
    </w:p>
  </w:footnote>
  <w:footnote w:id="185">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ΠΕΚ Τ-155/06, </w:t>
      </w:r>
      <w:proofErr w:type="spellStart"/>
      <w:r w:rsidRPr="001C2BED">
        <w:rPr>
          <w:rFonts w:ascii="Times New Roman" w:hAnsi="Times New Roman" w:cs="Times New Roman"/>
          <w:i/>
          <w:lang w:val="en-US"/>
        </w:rPr>
        <w:t>Tomra</w:t>
      </w:r>
      <w:proofErr w:type="spellEnd"/>
      <w:r w:rsidRPr="001C2BED">
        <w:rPr>
          <w:rFonts w:ascii="Times New Roman" w:hAnsi="Times New Roman" w:cs="Times New Roman"/>
        </w:rPr>
        <w:t>, Συλλογή 2010, σελ. ΙΙ-4361, παρ. 79.</w:t>
      </w:r>
    </w:p>
  </w:footnote>
  <w:footnote w:id="186">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80.</w:t>
      </w:r>
    </w:p>
  </w:footnote>
  <w:footnote w:id="187">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82.</w:t>
      </w:r>
    </w:p>
  </w:footnote>
  <w:footnote w:id="188">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85.</w:t>
      </w:r>
    </w:p>
  </w:footnote>
  <w:footnote w:id="189">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269.</w:t>
      </w:r>
    </w:p>
  </w:footnote>
  <w:footnote w:id="190">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i/>
          <w:lang w:val="en-US"/>
        </w:rPr>
        <w:t>Ibid</w:t>
      </w:r>
      <w:r w:rsidRPr="001C2BED">
        <w:rPr>
          <w:rFonts w:ascii="Times New Roman" w:hAnsi="Times New Roman" w:cs="Times New Roman"/>
        </w:rPr>
        <w:t>, παρ.</w:t>
      </w:r>
      <w:proofErr w:type="gramEnd"/>
      <w:r w:rsidRPr="001C2BED">
        <w:rPr>
          <w:rFonts w:ascii="Times New Roman" w:hAnsi="Times New Roman" w:cs="Times New Roman"/>
        </w:rPr>
        <w:t xml:space="preserve"> 116-117.</w:t>
      </w:r>
    </w:p>
  </w:footnote>
  <w:footnote w:id="191">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ΔΕΕ </w:t>
      </w:r>
      <w:r w:rsidRPr="001C2BED">
        <w:rPr>
          <w:rFonts w:ascii="Times New Roman" w:hAnsi="Times New Roman" w:cs="Times New Roman"/>
          <w:lang w:val="en-US"/>
        </w:rPr>
        <w:t>C</w:t>
      </w:r>
      <w:r w:rsidRPr="001C2BED">
        <w:rPr>
          <w:rFonts w:ascii="Times New Roman" w:hAnsi="Times New Roman" w:cs="Times New Roman"/>
        </w:rPr>
        <w:t>-549/10</w:t>
      </w:r>
      <w:r w:rsidRPr="001C2BED">
        <w:rPr>
          <w:rFonts w:ascii="Times New Roman" w:hAnsi="Times New Roman" w:cs="Times New Roman"/>
          <w:lang w:val="en-US"/>
        </w:rPr>
        <w:t>P</w:t>
      </w:r>
      <w:r w:rsidRPr="001C2BED">
        <w:rPr>
          <w:rFonts w:ascii="Times New Roman" w:hAnsi="Times New Roman" w:cs="Times New Roman"/>
        </w:rPr>
        <w:t xml:space="preserve">, </w:t>
      </w:r>
      <w:proofErr w:type="spellStart"/>
      <w:r w:rsidRPr="001C2BED">
        <w:rPr>
          <w:rFonts w:ascii="Times New Roman" w:hAnsi="Times New Roman" w:cs="Times New Roman"/>
          <w:i/>
          <w:lang w:val="en-US"/>
        </w:rPr>
        <w:t>Tomra</w:t>
      </w:r>
      <w:proofErr w:type="spellEnd"/>
      <w:r w:rsidRPr="001C2BED">
        <w:rPr>
          <w:rFonts w:ascii="Times New Roman" w:hAnsi="Times New Roman" w:cs="Times New Roman"/>
        </w:rPr>
        <w:t xml:space="preserve">, της 02.02.2012. </w:t>
      </w:r>
    </w:p>
  </w:footnote>
  <w:footnote w:id="192">
    <w:p w:rsidR="00176031" w:rsidRPr="001C2BED" w:rsidRDefault="00176031" w:rsidP="001C2BED">
      <w:pPr>
        <w:pStyle w:val="FootnoteText"/>
        <w:jc w:val="both"/>
        <w:rPr>
          <w:rFonts w:ascii="Times New Roman" w:hAnsi="Times New Roman" w:cs="Times New Roman"/>
          <w:lang w:val="de-DE"/>
        </w:rPr>
      </w:pPr>
      <w:r w:rsidRPr="001C2BED">
        <w:rPr>
          <w:rStyle w:val="FootnoteReference"/>
          <w:rFonts w:ascii="Times New Roman" w:hAnsi="Times New Roman" w:cs="Times New Roman"/>
        </w:rPr>
        <w:footnoteRef/>
      </w:r>
      <w:r w:rsidRPr="001C2BED">
        <w:rPr>
          <w:rFonts w:ascii="Times New Roman" w:hAnsi="Times New Roman" w:cs="Times New Roman"/>
          <w:i/>
          <w:lang w:val="de-DE"/>
        </w:rPr>
        <w:t>Ibid</w:t>
      </w:r>
      <w:r w:rsidRPr="001C2BED">
        <w:rPr>
          <w:rFonts w:ascii="Times New Roman" w:hAnsi="Times New Roman" w:cs="Times New Roman"/>
          <w:lang w:val="de-DE"/>
        </w:rPr>
        <w:t xml:space="preserve">, </w:t>
      </w:r>
      <w:r w:rsidRPr="001C2BED">
        <w:rPr>
          <w:rFonts w:ascii="Times New Roman" w:hAnsi="Times New Roman" w:cs="Times New Roman"/>
        </w:rPr>
        <w:t>παρ</w:t>
      </w:r>
      <w:r w:rsidRPr="001C2BED">
        <w:rPr>
          <w:rFonts w:ascii="Times New Roman" w:hAnsi="Times New Roman" w:cs="Times New Roman"/>
          <w:lang w:val="de-DE"/>
        </w:rPr>
        <w:t>. 73 &amp; 80.</w:t>
      </w:r>
    </w:p>
  </w:footnote>
  <w:footnote w:id="193">
    <w:p w:rsidR="00176031" w:rsidRPr="001C2BED" w:rsidRDefault="00176031" w:rsidP="001C2BED">
      <w:pPr>
        <w:pStyle w:val="FootnoteText"/>
        <w:jc w:val="both"/>
        <w:rPr>
          <w:rFonts w:ascii="Times New Roman" w:hAnsi="Times New Roman" w:cs="Times New Roman"/>
          <w:lang w:val="de-DE"/>
        </w:rPr>
      </w:pPr>
      <w:r w:rsidRPr="001C2BED">
        <w:rPr>
          <w:rStyle w:val="FootnoteReference"/>
          <w:rFonts w:ascii="Times New Roman" w:hAnsi="Times New Roman" w:cs="Times New Roman"/>
        </w:rPr>
        <w:footnoteRef/>
      </w:r>
      <w:r w:rsidRPr="001C2BED">
        <w:rPr>
          <w:rFonts w:ascii="Times New Roman" w:hAnsi="Times New Roman" w:cs="Times New Roman"/>
        </w:rPr>
        <w:t>ΔΕΕ</w:t>
      </w:r>
      <w:r w:rsidRPr="001C2BED">
        <w:rPr>
          <w:rFonts w:ascii="Times New Roman" w:hAnsi="Times New Roman" w:cs="Times New Roman"/>
          <w:lang w:val="de-DE"/>
        </w:rPr>
        <w:t xml:space="preserve"> </w:t>
      </w:r>
      <w:r w:rsidRPr="001C2BED">
        <w:rPr>
          <w:rFonts w:ascii="Times New Roman" w:hAnsi="Times New Roman" w:cs="Times New Roman"/>
          <w:lang w:val="de-DE"/>
        </w:rPr>
        <w:t xml:space="preserve">C-23/14, </w:t>
      </w:r>
      <w:r w:rsidRPr="001C2BED">
        <w:rPr>
          <w:rFonts w:ascii="Times New Roman" w:hAnsi="Times New Roman" w:cs="Times New Roman"/>
          <w:i/>
          <w:lang w:val="de-DE"/>
        </w:rPr>
        <w:t xml:space="preserve">Post Denmark II, </w:t>
      </w:r>
      <w:r w:rsidRPr="001C2BED">
        <w:rPr>
          <w:rFonts w:ascii="Times New Roman" w:hAnsi="Times New Roman" w:cs="Times New Roman"/>
          <w:lang w:val="de-DE"/>
        </w:rPr>
        <w:t xml:space="preserve">ECLI:EU:C:2015:651, </w:t>
      </w:r>
      <w:r w:rsidRPr="001C2BED">
        <w:rPr>
          <w:rFonts w:ascii="Times New Roman" w:hAnsi="Times New Roman" w:cs="Times New Roman"/>
        </w:rPr>
        <w:t>παρ</w:t>
      </w:r>
      <w:r w:rsidRPr="001C2BED">
        <w:rPr>
          <w:rFonts w:ascii="Times New Roman" w:hAnsi="Times New Roman" w:cs="Times New Roman"/>
          <w:lang w:val="de-DE"/>
        </w:rPr>
        <w:t>. 29.</w:t>
      </w:r>
    </w:p>
  </w:footnote>
  <w:footnote w:id="194">
    <w:p w:rsidR="00176031" w:rsidRPr="001C2BED" w:rsidRDefault="00176031" w:rsidP="001C2BED">
      <w:pPr>
        <w:pStyle w:val="FootnoteText"/>
        <w:jc w:val="both"/>
        <w:rPr>
          <w:rFonts w:ascii="Times New Roman" w:hAnsi="Times New Roman" w:cs="Times New Roman"/>
          <w:lang w:val="de-DE"/>
        </w:rPr>
      </w:pPr>
      <w:r w:rsidRPr="001C2BED">
        <w:rPr>
          <w:rStyle w:val="FootnoteReference"/>
          <w:rFonts w:ascii="Times New Roman" w:hAnsi="Times New Roman" w:cs="Times New Roman"/>
        </w:rPr>
        <w:footnoteRef/>
      </w:r>
      <w:r w:rsidRPr="001C2BED">
        <w:rPr>
          <w:rFonts w:ascii="Times New Roman" w:hAnsi="Times New Roman" w:cs="Times New Roman"/>
          <w:i/>
          <w:lang w:val="de-DE"/>
        </w:rPr>
        <w:t>Ibid</w:t>
      </w:r>
      <w:r w:rsidRPr="001C2BED">
        <w:rPr>
          <w:rFonts w:ascii="Times New Roman" w:hAnsi="Times New Roman" w:cs="Times New Roman"/>
          <w:lang w:val="de-DE"/>
        </w:rPr>
        <w:t xml:space="preserve">, </w:t>
      </w:r>
      <w:r w:rsidRPr="001C2BED">
        <w:rPr>
          <w:rFonts w:ascii="Times New Roman" w:hAnsi="Times New Roman" w:cs="Times New Roman"/>
        </w:rPr>
        <w:t>παρ</w:t>
      </w:r>
      <w:r w:rsidRPr="001C2BED">
        <w:rPr>
          <w:rFonts w:ascii="Times New Roman" w:hAnsi="Times New Roman" w:cs="Times New Roman"/>
          <w:lang w:val="de-DE"/>
        </w:rPr>
        <w:t>. 32-35.</w:t>
      </w:r>
    </w:p>
  </w:footnote>
  <w:footnote w:id="195">
    <w:p w:rsidR="00176031" w:rsidRPr="001C2BED" w:rsidRDefault="00176031" w:rsidP="001C2BED">
      <w:pPr>
        <w:pStyle w:val="FootnoteText"/>
        <w:jc w:val="both"/>
        <w:rPr>
          <w:rFonts w:ascii="Times New Roman" w:hAnsi="Times New Roman" w:cs="Times New Roman"/>
          <w:lang w:val="de-DE"/>
        </w:rPr>
      </w:pPr>
      <w:r w:rsidRPr="001C2BED">
        <w:rPr>
          <w:rStyle w:val="FootnoteReference"/>
          <w:rFonts w:ascii="Times New Roman" w:hAnsi="Times New Roman" w:cs="Times New Roman"/>
        </w:rPr>
        <w:footnoteRef/>
      </w:r>
      <w:r w:rsidRPr="001C2BED">
        <w:rPr>
          <w:rFonts w:ascii="Times New Roman" w:hAnsi="Times New Roman" w:cs="Times New Roman"/>
          <w:i/>
          <w:lang w:val="de-DE"/>
        </w:rPr>
        <w:t>Ibid</w:t>
      </w:r>
      <w:r w:rsidRPr="001C2BED">
        <w:rPr>
          <w:rFonts w:ascii="Times New Roman" w:hAnsi="Times New Roman" w:cs="Times New Roman"/>
          <w:lang w:val="de-DE"/>
        </w:rPr>
        <w:t xml:space="preserve">, </w:t>
      </w:r>
      <w:r w:rsidRPr="001C2BED">
        <w:rPr>
          <w:rFonts w:ascii="Times New Roman" w:hAnsi="Times New Roman" w:cs="Times New Roman"/>
        </w:rPr>
        <w:t>παρ</w:t>
      </w:r>
      <w:r w:rsidRPr="001C2BED">
        <w:rPr>
          <w:rFonts w:ascii="Times New Roman" w:hAnsi="Times New Roman" w:cs="Times New Roman"/>
          <w:lang w:val="de-DE"/>
        </w:rPr>
        <w:t>. 39-42 &amp; 46.</w:t>
      </w:r>
    </w:p>
  </w:footnote>
  <w:footnote w:id="196">
    <w:p w:rsidR="00176031" w:rsidRPr="001C2BED" w:rsidRDefault="00176031" w:rsidP="001C2BED">
      <w:pPr>
        <w:pStyle w:val="FootnoteText"/>
        <w:jc w:val="both"/>
        <w:rPr>
          <w:rFonts w:ascii="Times New Roman" w:hAnsi="Times New Roman" w:cs="Times New Roman"/>
          <w:lang w:val="de-DE"/>
        </w:rPr>
      </w:pPr>
      <w:r w:rsidRPr="001C2BED">
        <w:rPr>
          <w:rStyle w:val="FootnoteReference"/>
          <w:rFonts w:ascii="Times New Roman" w:hAnsi="Times New Roman" w:cs="Times New Roman"/>
        </w:rPr>
        <w:footnoteRef/>
      </w:r>
      <w:r w:rsidRPr="001C2BED">
        <w:rPr>
          <w:rFonts w:ascii="Times New Roman" w:hAnsi="Times New Roman" w:cs="Times New Roman"/>
          <w:i/>
          <w:lang w:val="de-DE"/>
        </w:rPr>
        <w:t>Ibid</w:t>
      </w:r>
      <w:r w:rsidRPr="001C2BED">
        <w:rPr>
          <w:rFonts w:ascii="Times New Roman" w:hAnsi="Times New Roman" w:cs="Times New Roman"/>
          <w:lang w:val="de-DE"/>
        </w:rPr>
        <w:t xml:space="preserve">, </w:t>
      </w:r>
      <w:r w:rsidRPr="001C2BED">
        <w:rPr>
          <w:rFonts w:ascii="Times New Roman" w:hAnsi="Times New Roman" w:cs="Times New Roman"/>
        </w:rPr>
        <w:t>παρ</w:t>
      </w:r>
      <w:r w:rsidRPr="001C2BED">
        <w:rPr>
          <w:rFonts w:ascii="Times New Roman" w:hAnsi="Times New Roman" w:cs="Times New Roman"/>
          <w:lang w:val="de-DE"/>
        </w:rPr>
        <w:t>. 47-49.</w:t>
      </w:r>
    </w:p>
  </w:footnote>
  <w:footnote w:id="197">
    <w:p w:rsidR="00176031" w:rsidRPr="00405B4E" w:rsidRDefault="00176031" w:rsidP="001C2BED">
      <w:pPr>
        <w:pStyle w:val="FootnoteText"/>
        <w:jc w:val="both"/>
        <w:rPr>
          <w:rFonts w:ascii="Times New Roman" w:hAnsi="Times New Roman" w:cs="Times New Roman"/>
          <w:lang w:val="de-DE"/>
        </w:rPr>
      </w:pPr>
      <w:r w:rsidRPr="001C2BED">
        <w:rPr>
          <w:rStyle w:val="FootnoteReference"/>
          <w:rFonts w:ascii="Times New Roman" w:hAnsi="Times New Roman" w:cs="Times New Roman"/>
        </w:rPr>
        <w:footnoteRef/>
      </w:r>
      <w:r w:rsidRPr="001C2BED">
        <w:rPr>
          <w:rFonts w:ascii="Times New Roman" w:hAnsi="Times New Roman" w:cs="Times New Roman"/>
          <w:i/>
          <w:lang w:val="de-DE"/>
        </w:rPr>
        <w:t>Ibid</w:t>
      </w:r>
      <w:r w:rsidRPr="001C2BED">
        <w:rPr>
          <w:rFonts w:ascii="Times New Roman" w:hAnsi="Times New Roman" w:cs="Times New Roman"/>
          <w:lang w:val="de-DE"/>
        </w:rPr>
        <w:t xml:space="preserve">, </w:t>
      </w:r>
      <w:r w:rsidRPr="001C2BED">
        <w:rPr>
          <w:rFonts w:ascii="Times New Roman" w:hAnsi="Times New Roman" w:cs="Times New Roman"/>
        </w:rPr>
        <w:t>παρ</w:t>
      </w:r>
      <w:r w:rsidRPr="001C2BED">
        <w:rPr>
          <w:rFonts w:ascii="Times New Roman" w:hAnsi="Times New Roman" w:cs="Times New Roman"/>
          <w:lang w:val="de-DE"/>
        </w:rPr>
        <w:t>. 5</w:t>
      </w:r>
      <w:r w:rsidRPr="00405B4E">
        <w:rPr>
          <w:rFonts w:ascii="Times New Roman" w:hAnsi="Times New Roman" w:cs="Times New Roman"/>
          <w:lang w:val="de-DE"/>
        </w:rPr>
        <w:t>6, 58 &amp; 61.</w:t>
      </w:r>
    </w:p>
  </w:footnote>
  <w:footnote w:id="198">
    <w:p w:rsidR="00176031" w:rsidRPr="001C2BED" w:rsidRDefault="00176031" w:rsidP="001C2BED">
      <w:pPr>
        <w:pStyle w:val="FootnoteText"/>
        <w:jc w:val="both"/>
        <w:rPr>
          <w:rFonts w:ascii="Times New Roman" w:hAnsi="Times New Roman" w:cs="Times New Roman"/>
          <w:lang w:val="de-DE"/>
        </w:rPr>
      </w:pPr>
      <w:r w:rsidRPr="001C2BED">
        <w:rPr>
          <w:rStyle w:val="FootnoteReference"/>
          <w:rFonts w:ascii="Times New Roman" w:hAnsi="Times New Roman" w:cs="Times New Roman"/>
        </w:rPr>
        <w:footnoteRef/>
      </w:r>
      <w:r w:rsidRPr="001C2BED">
        <w:rPr>
          <w:rFonts w:ascii="Times New Roman" w:hAnsi="Times New Roman" w:cs="Times New Roman"/>
          <w:i/>
          <w:lang w:val="de-DE"/>
        </w:rPr>
        <w:t>Ibid</w:t>
      </w:r>
      <w:r w:rsidRPr="001C2BED">
        <w:rPr>
          <w:rFonts w:ascii="Times New Roman" w:hAnsi="Times New Roman" w:cs="Times New Roman"/>
          <w:lang w:val="de-DE"/>
        </w:rPr>
        <w:t xml:space="preserve">, </w:t>
      </w:r>
      <w:r w:rsidRPr="001C2BED">
        <w:rPr>
          <w:rFonts w:ascii="Times New Roman" w:hAnsi="Times New Roman" w:cs="Times New Roman"/>
        </w:rPr>
        <w:t>παρ</w:t>
      </w:r>
      <w:r w:rsidRPr="001C2BED">
        <w:rPr>
          <w:rFonts w:ascii="Times New Roman" w:hAnsi="Times New Roman" w:cs="Times New Roman"/>
          <w:lang w:val="de-DE"/>
        </w:rPr>
        <w:t>. 59-60.</w:t>
      </w:r>
    </w:p>
  </w:footnote>
  <w:footnote w:id="199">
    <w:p w:rsidR="00176031" w:rsidRPr="001C2BED" w:rsidRDefault="00176031" w:rsidP="001C2BED">
      <w:pPr>
        <w:pStyle w:val="FootnoteText"/>
        <w:jc w:val="both"/>
        <w:rPr>
          <w:rFonts w:ascii="Times New Roman" w:hAnsi="Times New Roman" w:cs="Times New Roman"/>
          <w:lang w:val="de-DE"/>
        </w:rPr>
      </w:pPr>
      <w:r w:rsidRPr="001C2BED">
        <w:rPr>
          <w:rStyle w:val="FootnoteReference"/>
          <w:rFonts w:ascii="Times New Roman" w:hAnsi="Times New Roman" w:cs="Times New Roman"/>
        </w:rPr>
        <w:footnoteRef/>
      </w:r>
      <w:r w:rsidRPr="001C2BED">
        <w:rPr>
          <w:rFonts w:ascii="Times New Roman" w:hAnsi="Times New Roman" w:cs="Times New Roman"/>
        </w:rPr>
        <w:t>ΠΕΚΤ</w:t>
      </w:r>
      <w:r w:rsidRPr="001C2BED">
        <w:rPr>
          <w:rFonts w:ascii="Times New Roman" w:hAnsi="Times New Roman" w:cs="Times New Roman"/>
          <w:lang w:val="de-DE"/>
        </w:rPr>
        <w:t xml:space="preserve">-289/09, </w:t>
      </w:r>
      <w:r w:rsidRPr="001C2BED">
        <w:rPr>
          <w:rFonts w:ascii="Times New Roman" w:hAnsi="Times New Roman" w:cs="Times New Roman"/>
          <w:i/>
          <w:lang w:val="de-DE"/>
        </w:rPr>
        <w:t>Intel</w:t>
      </w:r>
      <w:r w:rsidRPr="001C2BED">
        <w:rPr>
          <w:rFonts w:ascii="Times New Roman" w:hAnsi="Times New Roman" w:cs="Times New Roman"/>
          <w:lang w:val="de-DE"/>
        </w:rPr>
        <w:t xml:space="preserve">, </w:t>
      </w:r>
      <w:r w:rsidRPr="001C2BED">
        <w:rPr>
          <w:rFonts w:ascii="Times New Roman" w:hAnsi="Times New Roman" w:cs="Times New Roman"/>
        </w:rPr>
        <w:t>Συλλογή</w:t>
      </w:r>
      <w:r w:rsidRPr="001C2BED">
        <w:rPr>
          <w:rFonts w:ascii="Times New Roman" w:hAnsi="Times New Roman" w:cs="Times New Roman"/>
          <w:lang w:val="de-DE"/>
        </w:rPr>
        <w:t xml:space="preserve"> 2011, </w:t>
      </w:r>
      <w:r w:rsidRPr="001C2BED">
        <w:rPr>
          <w:rFonts w:ascii="Times New Roman" w:hAnsi="Times New Roman" w:cs="Times New Roman"/>
        </w:rPr>
        <w:t>σελ</w:t>
      </w:r>
      <w:r w:rsidRPr="001C2BED">
        <w:rPr>
          <w:rFonts w:ascii="Times New Roman" w:hAnsi="Times New Roman" w:cs="Times New Roman"/>
          <w:lang w:val="de-DE"/>
        </w:rPr>
        <w:t xml:space="preserve">. </w:t>
      </w:r>
      <w:r w:rsidRPr="001C2BED">
        <w:rPr>
          <w:rFonts w:ascii="Times New Roman" w:hAnsi="Times New Roman" w:cs="Times New Roman"/>
        </w:rPr>
        <w:t>ΙΙ</w:t>
      </w:r>
      <w:r w:rsidRPr="001C2BED">
        <w:rPr>
          <w:rFonts w:ascii="Times New Roman" w:hAnsi="Times New Roman" w:cs="Times New Roman"/>
          <w:lang w:val="de-DE"/>
        </w:rPr>
        <w:t xml:space="preserve">-270, </w:t>
      </w:r>
      <w:r w:rsidRPr="001C2BED">
        <w:rPr>
          <w:rFonts w:ascii="Times New Roman" w:hAnsi="Times New Roman" w:cs="Times New Roman"/>
        </w:rPr>
        <w:t>παρ</w:t>
      </w:r>
      <w:r w:rsidRPr="001C2BED">
        <w:rPr>
          <w:rFonts w:ascii="Times New Roman" w:hAnsi="Times New Roman" w:cs="Times New Roman"/>
          <w:lang w:val="de-DE"/>
        </w:rPr>
        <w:t>. 77.</w:t>
      </w:r>
    </w:p>
  </w:footnote>
  <w:footnote w:id="200">
    <w:p w:rsidR="00176031" w:rsidRPr="001C2BED" w:rsidRDefault="00176031" w:rsidP="001C2BED">
      <w:pPr>
        <w:pStyle w:val="FootnoteText"/>
        <w:jc w:val="both"/>
        <w:rPr>
          <w:rFonts w:ascii="Times New Roman" w:hAnsi="Times New Roman" w:cs="Times New Roman"/>
          <w:lang w:val="de-DE"/>
        </w:rPr>
      </w:pPr>
      <w:r w:rsidRPr="001C2BED">
        <w:rPr>
          <w:rStyle w:val="FootnoteReference"/>
          <w:rFonts w:ascii="Times New Roman" w:hAnsi="Times New Roman" w:cs="Times New Roman"/>
        </w:rPr>
        <w:footnoteRef/>
      </w:r>
      <w:r w:rsidRPr="001C2BED">
        <w:rPr>
          <w:rFonts w:ascii="Times New Roman" w:hAnsi="Times New Roman" w:cs="Times New Roman"/>
          <w:i/>
          <w:lang w:val="de-DE"/>
        </w:rPr>
        <w:t>Ibid</w:t>
      </w:r>
      <w:r w:rsidRPr="001C2BED">
        <w:rPr>
          <w:rFonts w:ascii="Times New Roman" w:hAnsi="Times New Roman" w:cs="Times New Roman"/>
          <w:lang w:val="de-DE"/>
        </w:rPr>
        <w:t xml:space="preserve">, </w:t>
      </w:r>
      <w:r w:rsidRPr="001C2BED">
        <w:rPr>
          <w:rFonts w:ascii="Times New Roman" w:hAnsi="Times New Roman" w:cs="Times New Roman"/>
        </w:rPr>
        <w:t>παρ</w:t>
      </w:r>
      <w:r w:rsidRPr="001C2BED">
        <w:rPr>
          <w:rFonts w:ascii="Times New Roman" w:hAnsi="Times New Roman" w:cs="Times New Roman"/>
          <w:lang w:val="de-DE"/>
        </w:rPr>
        <w:t>. 92.</w:t>
      </w:r>
    </w:p>
  </w:footnote>
  <w:footnote w:id="201">
    <w:p w:rsidR="00176031" w:rsidRPr="001C2BED" w:rsidRDefault="00176031" w:rsidP="001C2BED">
      <w:pPr>
        <w:pStyle w:val="FootnoteText"/>
        <w:jc w:val="both"/>
        <w:rPr>
          <w:rFonts w:ascii="Times New Roman" w:hAnsi="Times New Roman" w:cs="Times New Roman"/>
          <w:lang w:val="de-DE"/>
        </w:rPr>
      </w:pPr>
      <w:r w:rsidRPr="001C2BED">
        <w:rPr>
          <w:rStyle w:val="FootnoteReference"/>
          <w:rFonts w:ascii="Times New Roman" w:hAnsi="Times New Roman" w:cs="Times New Roman"/>
        </w:rPr>
        <w:footnoteRef/>
      </w:r>
      <w:r w:rsidRPr="001C2BED">
        <w:rPr>
          <w:rFonts w:ascii="Times New Roman" w:hAnsi="Times New Roman" w:cs="Times New Roman"/>
          <w:i/>
          <w:lang w:val="de-DE"/>
        </w:rPr>
        <w:t>Ibid</w:t>
      </w:r>
      <w:r w:rsidRPr="001C2BED">
        <w:rPr>
          <w:rFonts w:ascii="Times New Roman" w:hAnsi="Times New Roman" w:cs="Times New Roman"/>
          <w:lang w:val="de-DE"/>
        </w:rPr>
        <w:t xml:space="preserve">, </w:t>
      </w:r>
      <w:r w:rsidRPr="001C2BED">
        <w:rPr>
          <w:rFonts w:ascii="Times New Roman" w:hAnsi="Times New Roman" w:cs="Times New Roman"/>
        </w:rPr>
        <w:t>παρ</w:t>
      </w:r>
      <w:r w:rsidRPr="001C2BED">
        <w:rPr>
          <w:rFonts w:ascii="Times New Roman" w:hAnsi="Times New Roman" w:cs="Times New Roman"/>
          <w:lang w:val="de-DE"/>
        </w:rPr>
        <w:t>. 93.</w:t>
      </w:r>
    </w:p>
  </w:footnote>
  <w:footnote w:id="202">
    <w:p w:rsidR="00176031" w:rsidRPr="001C2BED" w:rsidRDefault="00176031" w:rsidP="001C2BED">
      <w:pPr>
        <w:pStyle w:val="FootnoteText"/>
        <w:jc w:val="both"/>
        <w:rPr>
          <w:rFonts w:ascii="Times New Roman" w:hAnsi="Times New Roman" w:cs="Times New Roman"/>
          <w:lang w:val="de-DE"/>
        </w:rPr>
      </w:pPr>
      <w:r w:rsidRPr="001C2BED">
        <w:rPr>
          <w:rStyle w:val="FootnoteReference"/>
          <w:rFonts w:ascii="Times New Roman" w:hAnsi="Times New Roman" w:cs="Times New Roman"/>
        </w:rPr>
        <w:footnoteRef/>
      </w:r>
      <w:r w:rsidRPr="001C2BED">
        <w:rPr>
          <w:rFonts w:ascii="Times New Roman" w:hAnsi="Times New Roman" w:cs="Times New Roman"/>
          <w:i/>
          <w:lang w:val="de-DE"/>
        </w:rPr>
        <w:t>Ibid</w:t>
      </w:r>
      <w:r w:rsidRPr="001C2BED">
        <w:rPr>
          <w:rFonts w:ascii="Times New Roman" w:hAnsi="Times New Roman" w:cs="Times New Roman"/>
          <w:lang w:val="de-DE"/>
        </w:rPr>
        <w:t xml:space="preserve">, </w:t>
      </w:r>
      <w:r w:rsidRPr="001C2BED">
        <w:rPr>
          <w:rFonts w:ascii="Times New Roman" w:hAnsi="Times New Roman" w:cs="Times New Roman"/>
        </w:rPr>
        <w:t>παρ</w:t>
      </w:r>
      <w:r w:rsidRPr="001C2BED">
        <w:rPr>
          <w:rFonts w:ascii="Times New Roman" w:hAnsi="Times New Roman" w:cs="Times New Roman"/>
          <w:lang w:val="de-DE"/>
        </w:rPr>
        <w:t>. 214.</w:t>
      </w:r>
    </w:p>
  </w:footnote>
  <w:footnote w:id="203">
    <w:p w:rsidR="00176031" w:rsidRPr="00405B4E" w:rsidRDefault="00176031" w:rsidP="001C2BED">
      <w:pPr>
        <w:pStyle w:val="FootnoteText"/>
        <w:jc w:val="both"/>
        <w:rPr>
          <w:rFonts w:ascii="Times New Roman" w:hAnsi="Times New Roman" w:cs="Times New Roman"/>
          <w:lang w:val="de-DE"/>
        </w:rPr>
      </w:pPr>
      <w:r w:rsidRPr="001C2BED">
        <w:rPr>
          <w:rStyle w:val="FootnoteReference"/>
          <w:rFonts w:ascii="Times New Roman" w:hAnsi="Times New Roman" w:cs="Times New Roman"/>
        </w:rPr>
        <w:footnoteRef/>
      </w:r>
      <w:r w:rsidRPr="001C2BED">
        <w:rPr>
          <w:rFonts w:ascii="Times New Roman" w:hAnsi="Times New Roman" w:cs="Times New Roman"/>
        </w:rPr>
        <w:t>ΔΕΕ</w:t>
      </w:r>
      <w:r w:rsidRPr="00405B4E">
        <w:rPr>
          <w:rFonts w:ascii="Times New Roman" w:hAnsi="Times New Roman" w:cs="Times New Roman"/>
          <w:lang w:val="de-DE"/>
        </w:rPr>
        <w:t xml:space="preserve"> C-413/14P, </w:t>
      </w:r>
      <w:r w:rsidRPr="001C2BED">
        <w:rPr>
          <w:rFonts w:ascii="Times New Roman" w:hAnsi="Times New Roman" w:cs="Times New Roman"/>
        </w:rPr>
        <w:t>της</w:t>
      </w:r>
      <w:r w:rsidRPr="00405B4E">
        <w:rPr>
          <w:rFonts w:ascii="Times New Roman" w:hAnsi="Times New Roman" w:cs="Times New Roman"/>
          <w:lang w:val="de-DE"/>
        </w:rPr>
        <w:t xml:space="preserve"> 06.09.2017, ECLI:EU:C:2017:632.</w:t>
      </w:r>
    </w:p>
  </w:footnote>
  <w:footnote w:id="204">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i/>
          <w:lang w:val="de-DE"/>
        </w:rPr>
        <w:t>Ibid</w:t>
      </w:r>
      <w:r w:rsidRPr="001C2BED">
        <w:rPr>
          <w:rFonts w:ascii="Times New Roman" w:hAnsi="Times New Roman" w:cs="Times New Roman"/>
        </w:rPr>
        <w:t xml:space="preserve">, παρ. 142-147. </w:t>
      </w:r>
    </w:p>
  </w:footnote>
  <w:footnote w:id="205">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Βλ. Κατευθυντήριες Γραμμές για την αξιολόγηση των οριζόντιων συγκεντρώσεων, σύμφωνα με τον Κανονισμό του Συμβουλίου για τον έλεγχο των συγκεντρώσεων μεταξύ επιχειρήσεων, ΕΕ </w:t>
      </w:r>
      <w:r w:rsidRPr="001C2BED">
        <w:rPr>
          <w:rFonts w:ascii="Times New Roman" w:hAnsi="Times New Roman" w:cs="Times New Roman"/>
          <w:lang w:val="en-US"/>
        </w:rPr>
        <w:t>C</w:t>
      </w:r>
      <w:r w:rsidRPr="001C2BED">
        <w:rPr>
          <w:rFonts w:ascii="Times New Roman" w:hAnsi="Times New Roman" w:cs="Times New Roman"/>
        </w:rPr>
        <w:t xml:space="preserve">31, 5.2.2004, σελ. 5-18. </w:t>
      </w:r>
    </w:p>
  </w:footnote>
  <w:footnote w:id="206">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Βλ. Κατευθυντήριες Γραμμές για την αξιολόγηση των μη οριζόντιων συγκεντρώσεων, σύμφωνα με τον Κανονισμό του Συμβουλίου για τον έλεγχο των συγκεντρώσεων μεταξύ επιχειρήσεων, ΕΕ </w:t>
      </w:r>
      <w:r w:rsidRPr="001C2BED">
        <w:rPr>
          <w:rFonts w:ascii="Times New Roman" w:hAnsi="Times New Roman" w:cs="Times New Roman"/>
          <w:lang w:val="en-US"/>
        </w:rPr>
        <w:t>C</w:t>
      </w:r>
      <w:r w:rsidRPr="001C2BED">
        <w:rPr>
          <w:rFonts w:ascii="Times New Roman" w:hAnsi="Times New Roman" w:cs="Times New Roman"/>
        </w:rPr>
        <w:t>265, 18.10.2008, σελ. 6-25.</w:t>
      </w:r>
    </w:p>
  </w:footnote>
  <w:footnote w:id="207">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Βλ. </w:t>
      </w:r>
      <w:r w:rsidRPr="001C2BED">
        <w:rPr>
          <w:rFonts w:ascii="Times New Roman" w:hAnsi="Times New Roman" w:cs="Times New Roman"/>
          <w:i/>
        </w:rPr>
        <w:t>Καρύδη Γ.</w:t>
      </w:r>
      <w:r w:rsidRPr="001C2BED">
        <w:rPr>
          <w:rFonts w:ascii="Times New Roman" w:hAnsi="Times New Roman" w:cs="Times New Roman"/>
        </w:rPr>
        <w:t xml:space="preserve">, Ευρωπαϊκό Δίκαιο Συναλλαγών, εκδ. Νομική Βιβλιοθήκη, Αθήνα 2012, σελ. 367-368. </w:t>
      </w:r>
    </w:p>
  </w:footnote>
  <w:footnote w:id="208">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76031">
        <w:rPr>
          <w:rFonts w:ascii="Times New Roman" w:hAnsi="Times New Roman" w:cs="Times New Roman"/>
          <w:i/>
          <w:lang w:val="en-US"/>
        </w:rPr>
        <w:t>Ibid</w:t>
      </w:r>
      <w:r w:rsidRPr="00176031">
        <w:rPr>
          <w:rFonts w:ascii="Times New Roman" w:hAnsi="Times New Roman" w:cs="Times New Roman"/>
          <w:i/>
        </w:rPr>
        <w:t>.</w:t>
      </w:r>
    </w:p>
  </w:footnote>
  <w:footnote w:id="209">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76031">
        <w:rPr>
          <w:rFonts w:ascii="Times New Roman" w:hAnsi="Times New Roman" w:cs="Times New Roman"/>
          <w:i/>
          <w:lang w:val="en-US"/>
        </w:rPr>
        <w:t>Ibid</w:t>
      </w:r>
      <w:r w:rsidRPr="00176031">
        <w:rPr>
          <w:rFonts w:ascii="Times New Roman" w:hAnsi="Times New Roman" w:cs="Times New Roman"/>
          <w:i/>
        </w:rPr>
        <w:t>.</w:t>
      </w:r>
    </w:p>
  </w:footnote>
  <w:footnote w:id="210">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Βλ. Κατευθυντήριες Γραμμές για την αξιολόγηση των οριζόντιων συγκεντρώσεων, σύμφωνα με τον Κανονισμό του Συμβουλίου για τον έλεγχο των συγκεντρώσεων μεταξύ επιχειρήσεων, ΕΕ </w:t>
      </w:r>
      <w:r w:rsidRPr="001C2BED">
        <w:rPr>
          <w:rFonts w:ascii="Times New Roman" w:hAnsi="Times New Roman" w:cs="Times New Roman"/>
          <w:lang w:val="en-US"/>
        </w:rPr>
        <w:t>C</w:t>
      </w:r>
      <w:r w:rsidRPr="001C2BED">
        <w:rPr>
          <w:rFonts w:ascii="Times New Roman" w:hAnsi="Times New Roman" w:cs="Times New Roman"/>
        </w:rPr>
        <w:t>31, 5.2.2004, σελ. 5-18, σημείο 15.</w:t>
      </w:r>
    </w:p>
  </w:footnote>
  <w:footnote w:id="211">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Βλ. </w:t>
      </w:r>
      <w:r w:rsidRPr="001C2BED">
        <w:rPr>
          <w:rFonts w:ascii="Times New Roman" w:hAnsi="Times New Roman" w:cs="Times New Roman"/>
        </w:rPr>
        <w:t xml:space="preserve">και τις αποφάσεις ΠΕΚ Τ-221/95, </w:t>
      </w:r>
      <w:proofErr w:type="spellStart"/>
      <w:r w:rsidRPr="001C2BED">
        <w:rPr>
          <w:rFonts w:ascii="Times New Roman" w:hAnsi="Times New Roman" w:cs="Times New Roman"/>
          <w:i/>
          <w:lang w:val="en-US"/>
        </w:rPr>
        <w:t>Endemol</w:t>
      </w:r>
      <w:proofErr w:type="spellEnd"/>
      <w:r w:rsidRPr="001C2BED">
        <w:rPr>
          <w:rFonts w:ascii="Times New Roman" w:hAnsi="Times New Roman" w:cs="Times New Roman"/>
          <w:i/>
        </w:rPr>
        <w:t xml:space="preserve"> κατά Επιτροπής</w:t>
      </w:r>
      <w:r w:rsidRPr="001C2BED">
        <w:rPr>
          <w:rFonts w:ascii="Times New Roman" w:hAnsi="Times New Roman" w:cs="Times New Roman"/>
        </w:rPr>
        <w:t xml:space="preserve">, Συλλογή 1999, σελ. ΙΙ-1299, σκέψη 134· ΠΕΚ Τ-102/96, </w:t>
      </w:r>
      <w:proofErr w:type="spellStart"/>
      <w:r w:rsidRPr="001C2BED">
        <w:rPr>
          <w:rFonts w:ascii="Times New Roman" w:hAnsi="Times New Roman" w:cs="Times New Roman"/>
          <w:i/>
          <w:lang w:val="en-US"/>
        </w:rPr>
        <w:t>Gencor</w:t>
      </w:r>
      <w:proofErr w:type="spellEnd"/>
      <w:r w:rsidRPr="001C2BED">
        <w:rPr>
          <w:rFonts w:ascii="Times New Roman" w:hAnsi="Times New Roman" w:cs="Times New Roman"/>
          <w:i/>
        </w:rPr>
        <w:t xml:space="preserve"> κατά Επιτροπής</w:t>
      </w:r>
      <w:r w:rsidRPr="001C2BED">
        <w:rPr>
          <w:rFonts w:ascii="Times New Roman" w:hAnsi="Times New Roman" w:cs="Times New Roman"/>
        </w:rPr>
        <w:t>, Συλλογή 1999, σελ. ΙΙ-753, σκέψη 205.</w:t>
      </w:r>
    </w:p>
  </w:footnote>
  <w:footnote w:id="212">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Βλ. </w:t>
      </w:r>
      <w:r w:rsidRPr="001C2BED">
        <w:rPr>
          <w:rFonts w:ascii="Times New Roman" w:hAnsi="Times New Roman" w:cs="Times New Roman"/>
        </w:rPr>
        <w:t xml:space="preserve">υπόθεση </w:t>
      </w:r>
      <w:r w:rsidRPr="001C2BED">
        <w:rPr>
          <w:rFonts w:ascii="Times New Roman" w:hAnsi="Times New Roman" w:cs="Times New Roman"/>
          <w:lang w:val="en-US"/>
        </w:rPr>
        <w:t>COMP</w:t>
      </w:r>
      <w:r w:rsidRPr="001C2BED">
        <w:rPr>
          <w:rFonts w:ascii="Times New Roman" w:hAnsi="Times New Roman" w:cs="Times New Roman"/>
        </w:rPr>
        <w:t>/</w:t>
      </w:r>
      <w:r w:rsidRPr="001C2BED">
        <w:rPr>
          <w:rFonts w:ascii="Times New Roman" w:hAnsi="Times New Roman" w:cs="Times New Roman"/>
          <w:lang w:val="en-US"/>
        </w:rPr>
        <w:t>M</w:t>
      </w:r>
      <w:r w:rsidRPr="001C2BED">
        <w:rPr>
          <w:rFonts w:ascii="Times New Roman" w:hAnsi="Times New Roman" w:cs="Times New Roman"/>
        </w:rPr>
        <w:t xml:space="preserve">.2337 – </w:t>
      </w:r>
      <w:r w:rsidRPr="001C2BED">
        <w:rPr>
          <w:rFonts w:ascii="Times New Roman" w:hAnsi="Times New Roman" w:cs="Times New Roman"/>
          <w:lang w:val="en-US"/>
        </w:rPr>
        <w:t>N</w:t>
      </w:r>
      <w:r w:rsidRPr="001C2BED">
        <w:rPr>
          <w:rFonts w:ascii="Times New Roman" w:hAnsi="Times New Roman" w:cs="Times New Roman"/>
        </w:rPr>
        <w:t>é</w:t>
      </w:r>
      <w:proofErr w:type="spellStart"/>
      <w:r w:rsidRPr="001C2BED">
        <w:rPr>
          <w:rFonts w:ascii="Times New Roman" w:hAnsi="Times New Roman" w:cs="Times New Roman"/>
          <w:lang w:val="en-US"/>
        </w:rPr>
        <w:t>stl</w:t>
      </w:r>
      <w:proofErr w:type="spellEnd"/>
      <w:r w:rsidRPr="001C2BED">
        <w:rPr>
          <w:rFonts w:ascii="Times New Roman" w:hAnsi="Times New Roman" w:cs="Times New Roman"/>
        </w:rPr>
        <w:t>é/</w:t>
      </w:r>
      <w:proofErr w:type="spellStart"/>
      <w:r w:rsidRPr="001C2BED">
        <w:rPr>
          <w:rFonts w:ascii="Times New Roman" w:hAnsi="Times New Roman" w:cs="Times New Roman"/>
          <w:lang w:val="en-US"/>
        </w:rPr>
        <w:t>RalstonPurina</w:t>
      </w:r>
      <w:proofErr w:type="spellEnd"/>
      <w:r w:rsidRPr="001C2BED">
        <w:rPr>
          <w:rFonts w:ascii="Times New Roman" w:hAnsi="Times New Roman" w:cs="Times New Roman"/>
        </w:rPr>
        <w:t>, σημεία 48-50.</w:t>
      </w:r>
    </w:p>
  </w:footnote>
  <w:footnote w:id="213">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Βλ. </w:t>
      </w:r>
      <w:r w:rsidRPr="001C2BED">
        <w:rPr>
          <w:rFonts w:ascii="Times New Roman" w:hAnsi="Times New Roman" w:cs="Times New Roman"/>
        </w:rPr>
        <w:t xml:space="preserve">απόφαση της Επιτροπής 1999/674/ΕΚ στην υπόθεση </w:t>
      </w:r>
      <w:r w:rsidRPr="001C2BED">
        <w:rPr>
          <w:rFonts w:ascii="Times New Roman" w:hAnsi="Times New Roman" w:cs="Times New Roman"/>
          <w:lang w:val="en-US"/>
        </w:rPr>
        <w:t>IV</w:t>
      </w:r>
      <w:r w:rsidRPr="001C2BED">
        <w:rPr>
          <w:rFonts w:ascii="Times New Roman" w:hAnsi="Times New Roman" w:cs="Times New Roman"/>
        </w:rPr>
        <w:t>/</w:t>
      </w:r>
      <w:r w:rsidRPr="001C2BED">
        <w:rPr>
          <w:rFonts w:ascii="Times New Roman" w:hAnsi="Times New Roman" w:cs="Times New Roman"/>
          <w:lang w:val="en-US"/>
        </w:rPr>
        <w:t>M</w:t>
      </w:r>
      <w:r w:rsidRPr="001C2BED">
        <w:rPr>
          <w:rFonts w:ascii="Times New Roman" w:hAnsi="Times New Roman" w:cs="Times New Roman"/>
        </w:rPr>
        <w:t xml:space="preserve">.1221 – </w:t>
      </w:r>
      <w:proofErr w:type="spellStart"/>
      <w:r w:rsidRPr="001C2BED">
        <w:rPr>
          <w:rFonts w:ascii="Times New Roman" w:hAnsi="Times New Roman" w:cs="Times New Roman"/>
          <w:lang w:val="en-US"/>
        </w:rPr>
        <w:t>Rewe</w:t>
      </w:r>
      <w:proofErr w:type="spellEnd"/>
      <w:r w:rsidRPr="001C2BED">
        <w:rPr>
          <w:rFonts w:ascii="Times New Roman" w:hAnsi="Times New Roman" w:cs="Times New Roman"/>
        </w:rPr>
        <w:t>/</w:t>
      </w:r>
      <w:proofErr w:type="spellStart"/>
      <w:r w:rsidRPr="001C2BED">
        <w:rPr>
          <w:rFonts w:ascii="Times New Roman" w:hAnsi="Times New Roman" w:cs="Times New Roman"/>
          <w:lang w:val="en-US"/>
        </w:rPr>
        <w:t>Meinl</w:t>
      </w:r>
      <w:proofErr w:type="spellEnd"/>
      <w:r w:rsidRPr="001C2BED">
        <w:rPr>
          <w:rFonts w:ascii="Times New Roman" w:hAnsi="Times New Roman" w:cs="Times New Roman"/>
        </w:rPr>
        <w:t xml:space="preserve">, </w:t>
      </w:r>
      <w:r w:rsidRPr="001C2BED">
        <w:rPr>
          <w:rFonts w:ascii="Times New Roman" w:hAnsi="Times New Roman" w:cs="Times New Roman"/>
          <w:lang w:val="en-US"/>
        </w:rPr>
        <w:t>EEL</w:t>
      </w:r>
      <w:r w:rsidRPr="001C2BED">
        <w:rPr>
          <w:rFonts w:ascii="Times New Roman" w:hAnsi="Times New Roman" w:cs="Times New Roman"/>
        </w:rPr>
        <w:t xml:space="preserve"> 274, 23.10.1999, σελ. 1, σημεία 98-114· υπόθεση </w:t>
      </w:r>
      <w:r w:rsidRPr="001C2BED">
        <w:rPr>
          <w:rFonts w:ascii="Times New Roman" w:hAnsi="Times New Roman" w:cs="Times New Roman"/>
          <w:lang w:val="en-US"/>
        </w:rPr>
        <w:t>COMP</w:t>
      </w:r>
      <w:r w:rsidRPr="001C2BED">
        <w:rPr>
          <w:rFonts w:ascii="Times New Roman" w:hAnsi="Times New Roman" w:cs="Times New Roman"/>
        </w:rPr>
        <w:t>/</w:t>
      </w:r>
      <w:r w:rsidRPr="001C2BED">
        <w:rPr>
          <w:rFonts w:ascii="Times New Roman" w:hAnsi="Times New Roman" w:cs="Times New Roman"/>
          <w:lang w:val="en-US"/>
        </w:rPr>
        <w:t>M</w:t>
      </w:r>
      <w:r w:rsidRPr="001C2BED">
        <w:rPr>
          <w:rFonts w:ascii="Times New Roman" w:hAnsi="Times New Roman" w:cs="Times New Roman"/>
        </w:rPr>
        <w:t xml:space="preserve">.2337 – </w:t>
      </w:r>
      <w:r w:rsidRPr="001C2BED">
        <w:rPr>
          <w:rFonts w:ascii="Times New Roman" w:hAnsi="Times New Roman" w:cs="Times New Roman"/>
          <w:lang w:val="en-US"/>
        </w:rPr>
        <w:t>N</w:t>
      </w:r>
      <w:r w:rsidRPr="001C2BED">
        <w:rPr>
          <w:rFonts w:ascii="Times New Roman" w:hAnsi="Times New Roman" w:cs="Times New Roman"/>
        </w:rPr>
        <w:t>é</w:t>
      </w:r>
      <w:proofErr w:type="spellStart"/>
      <w:r w:rsidRPr="001C2BED">
        <w:rPr>
          <w:rFonts w:ascii="Times New Roman" w:hAnsi="Times New Roman" w:cs="Times New Roman"/>
          <w:lang w:val="en-US"/>
        </w:rPr>
        <w:t>stl</w:t>
      </w:r>
      <w:proofErr w:type="spellEnd"/>
      <w:r w:rsidRPr="001C2BED">
        <w:rPr>
          <w:rFonts w:ascii="Times New Roman" w:hAnsi="Times New Roman" w:cs="Times New Roman"/>
        </w:rPr>
        <w:t>é/</w:t>
      </w:r>
      <w:proofErr w:type="spellStart"/>
      <w:r w:rsidRPr="001C2BED">
        <w:rPr>
          <w:rFonts w:ascii="Times New Roman" w:hAnsi="Times New Roman" w:cs="Times New Roman"/>
          <w:lang w:val="en-US"/>
        </w:rPr>
        <w:t>RalstonPurina</w:t>
      </w:r>
      <w:proofErr w:type="spellEnd"/>
      <w:r w:rsidRPr="001C2BED">
        <w:rPr>
          <w:rFonts w:ascii="Times New Roman" w:hAnsi="Times New Roman" w:cs="Times New Roman"/>
        </w:rPr>
        <w:t>, σημεία 44-47.</w:t>
      </w:r>
    </w:p>
  </w:footnote>
  <w:footnote w:id="214">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Βλ. Κατευθυντήριες Γραμμές για την αξιολόγηση των οριζόντιων συγκεντρώσεων, σύμφωνα με τον Κανονισμό του Συμβουλίου για τον έλεγχο των συγκεντρώσεων μεταξύ επιχειρήσεων, ΕΕ </w:t>
      </w:r>
      <w:r w:rsidRPr="001C2BED">
        <w:rPr>
          <w:rFonts w:ascii="Times New Roman" w:hAnsi="Times New Roman" w:cs="Times New Roman"/>
          <w:lang w:val="en-US"/>
        </w:rPr>
        <w:t>C</w:t>
      </w:r>
      <w:r w:rsidRPr="001C2BED">
        <w:rPr>
          <w:rFonts w:ascii="Times New Roman" w:hAnsi="Times New Roman" w:cs="Times New Roman"/>
        </w:rPr>
        <w:t>31, 5.2.2004, σελ. 5-18, σημεία 17, 18.</w:t>
      </w:r>
    </w:p>
  </w:footnote>
  <w:footnote w:id="215">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proofErr w:type="gramStart"/>
      <w:r w:rsidRPr="00176031">
        <w:rPr>
          <w:rFonts w:ascii="Times New Roman" w:hAnsi="Times New Roman" w:cs="Times New Roman"/>
          <w:i/>
          <w:u w:val="single"/>
          <w:lang w:val="en-US"/>
        </w:rPr>
        <w:t>Ibid</w:t>
      </w:r>
      <w:r w:rsidRPr="001C2BED">
        <w:rPr>
          <w:rFonts w:ascii="Times New Roman" w:hAnsi="Times New Roman" w:cs="Times New Roman"/>
          <w:lang w:val="en-US"/>
        </w:rPr>
        <w:t xml:space="preserve">, </w:t>
      </w:r>
      <w:r w:rsidRPr="001C2BED">
        <w:rPr>
          <w:rFonts w:ascii="Times New Roman" w:hAnsi="Times New Roman" w:cs="Times New Roman"/>
        </w:rPr>
        <w:t>σημείο</w:t>
      </w:r>
      <w:r w:rsidRPr="001C2BED">
        <w:rPr>
          <w:rFonts w:ascii="Times New Roman" w:hAnsi="Times New Roman" w:cs="Times New Roman"/>
          <w:lang w:val="en-US"/>
        </w:rPr>
        <w:t xml:space="preserve"> 64.</w:t>
      </w:r>
      <w:proofErr w:type="gramEnd"/>
    </w:p>
  </w:footnote>
  <w:footnote w:id="216">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r w:rsidRPr="001C2BED">
        <w:rPr>
          <w:rFonts w:ascii="Times New Roman" w:hAnsi="Times New Roman" w:cs="Times New Roman"/>
          <w:lang w:val="en-US"/>
        </w:rPr>
        <w:t xml:space="preserve"> IV/M.337 </w:t>
      </w:r>
      <w:proofErr w:type="spellStart"/>
      <w:r w:rsidRPr="001C2BED">
        <w:rPr>
          <w:rFonts w:ascii="Times New Roman" w:hAnsi="Times New Roman" w:cs="Times New Roman"/>
          <w:lang w:val="en-US"/>
        </w:rPr>
        <w:t>Knorr-Bremse</w:t>
      </w:r>
      <w:proofErr w:type="spellEnd"/>
      <w:r w:rsidRPr="001C2BED">
        <w:rPr>
          <w:rFonts w:ascii="Times New Roman" w:hAnsi="Times New Roman" w:cs="Times New Roman"/>
          <w:lang w:val="en-US"/>
        </w:rPr>
        <w:t xml:space="preserve">/Allied Signal, </w:t>
      </w:r>
      <w:r w:rsidRPr="001C2BED">
        <w:rPr>
          <w:rFonts w:ascii="Times New Roman" w:hAnsi="Times New Roman" w:cs="Times New Roman"/>
        </w:rPr>
        <w:t>της</w:t>
      </w:r>
      <w:r w:rsidRPr="001C2BED">
        <w:rPr>
          <w:rFonts w:ascii="Times New Roman" w:hAnsi="Times New Roman" w:cs="Times New Roman"/>
          <w:lang w:val="en-US"/>
        </w:rPr>
        <w:t xml:space="preserve"> 15.10.1993</w:t>
      </w:r>
    </w:p>
  </w:footnote>
  <w:footnote w:id="217">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lang w:val="en-US"/>
        </w:rPr>
        <w:t>IV/</w:t>
      </w:r>
      <w:r w:rsidRPr="001C2BED">
        <w:rPr>
          <w:rFonts w:ascii="Times New Roman" w:hAnsi="Times New Roman" w:cs="Times New Roman"/>
        </w:rPr>
        <w:t>Μ</w:t>
      </w:r>
      <w:r w:rsidRPr="001C2BED">
        <w:rPr>
          <w:rFonts w:ascii="Times New Roman" w:hAnsi="Times New Roman" w:cs="Times New Roman"/>
          <w:lang w:val="en-US"/>
        </w:rPr>
        <w:t xml:space="preserve">. 619, </w:t>
      </w:r>
      <w:proofErr w:type="spellStart"/>
      <w:r w:rsidRPr="001C2BED">
        <w:rPr>
          <w:rFonts w:ascii="Times New Roman" w:hAnsi="Times New Roman" w:cs="Times New Roman"/>
          <w:lang w:val="en-US"/>
        </w:rPr>
        <w:t>Gencor</w:t>
      </w:r>
      <w:proofErr w:type="spellEnd"/>
      <w:r w:rsidRPr="001C2BED">
        <w:rPr>
          <w:rFonts w:ascii="Times New Roman" w:hAnsi="Times New Roman" w:cs="Times New Roman"/>
          <w:lang w:val="en-US"/>
        </w:rPr>
        <w:t>/</w:t>
      </w:r>
      <w:proofErr w:type="spellStart"/>
      <w:r w:rsidRPr="001C2BED">
        <w:rPr>
          <w:rFonts w:ascii="Times New Roman" w:hAnsi="Times New Roman" w:cs="Times New Roman"/>
          <w:lang w:val="en-US"/>
        </w:rPr>
        <w:t>Lonrho</w:t>
      </w:r>
      <w:proofErr w:type="spellEnd"/>
      <w:r w:rsidRPr="001C2BED">
        <w:rPr>
          <w:rFonts w:ascii="Times New Roman" w:hAnsi="Times New Roman" w:cs="Times New Roman"/>
          <w:lang w:val="en-US"/>
        </w:rPr>
        <w:t xml:space="preserve">, </w:t>
      </w:r>
      <w:r w:rsidRPr="001C2BED">
        <w:rPr>
          <w:rFonts w:ascii="Times New Roman" w:hAnsi="Times New Roman" w:cs="Times New Roman"/>
        </w:rPr>
        <w:t>ΕΕ</w:t>
      </w:r>
      <w:r w:rsidRPr="001C2BED">
        <w:rPr>
          <w:rFonts w:ascii="Times New Roman" w:hAnsi="Times New Roman" w:cs="Times New Roman"/>
          <w:lang w:val="en-US"/>
        </w:rPr>
        <w:t xml:space="preserve"> 1997, L 11/30, </w:t>
      </w:r>
      <w:r w:rsidRPr="001C2BED">
        <w:rPr>
          <w:rFonts w:ascii="Times New Roman" w:hAnsi="Times New Roman" w:cs="Times New Roman"/>
        </w:rPr>
        <w:t>παρ</w:t>
      </w:r>
      <w:r w:rsidRPr="001C2BED">
        <w:rPr>
          <w:rFonts w:ascii="Times New Roman" w:hAnsi="Times New Roman" w:cs="Times New Roman"/>
          <w:lang w:val="en-US"/>
        </w:rPr>
        <w:t>.150</w:t>
      </w:r>
      <w:r w:rsidRPr="001C2BED">
        <w:rPr>
          <w:rFonts w:ascii="Times New Roman" w:hAnsi="Times New Roman" w:cs="Times New Roman"/>
        </w:rPr>
        <w:t>·</w:t>
      </w:r>
      <w:r w:rsidRPr="001C2BED">
        <w:rPr>
          <w:rFonts w:ascii="Times New Roman" w:hAnsi="Times New Roman" w:cs="Times New Roman"/>
          <w:lang w:val="en-US"/>
        </w:rPr>
        <w:t xml:space="preserve"> IV/</w:t>
      </w:r>
      <w:r w:rsidRPr="001C2BED">
        <w:rPr>
          <w:rFonts w:ascii="Times New Roman" w:hAnsi="Times New Roman" w:cs="Times New Roman"/>
        </w:rPr>
        <w:t>Μ</w:t>
      </w:r>
      <w:r w:rsidRPr="001C2BED">
        <w:rPr>
          <w:rFonts w:ascii="Times New Roman" w:hAnsi="Times New Roman" w:cs="Times New Roman"/>
          <w:lang w:val="en-US"/>
        </w:rPr>
        <w:t xml:space="preserve">. 190, Nestlé/Perrier, EE 1992, L 356/1, </w:t>
      </w:r>
      <w:r w:rsidRPr="001C2BED">
        <w:rPr>
          <w:rFonts w:ascii="Times New Roman" w:hAnsi="Times New Roman" w:cs="Times New Roman"/>
        </w:rPr>
        <w:t>παρ</w:t>
      </w:r>
      <w:r w:rsidRPr="001C2BED">
        <w:rPr>
          <w:rFonts w:ascii="Times New Roman" w:hAnsi="Times New Roman" w:cs="Times New Roman"/>
          <w:lang w:val="en-US"/>
        </w:rPr>
        <w:t>.</w:t>
      </w:r>
      <w:proofErr w:type="gramEnd"/>
      <w:r w:rsidRPr="001C2BED">
        <w:rPr>
          <w:rFonts w:ascii="Times New Roman" w:hAnsi="Times New Roman" w:cs="Times New Roman"/>
          <w:lang w:val="en-US"/>
        </w:rPr>
        <w:t xml:space="preserve"> 84.</w:t>
      </w:r>
    </w:p>
  </w:footnote>
  <w:footnote w:id="218">
    <w:p w:rsidR="00176031" w:rsidRPr="001C2BED" w:rsidRDefault="00176031" w:rsidP="001C2BED">
      <w:pPr>
        <w:pStyle w:val="FootnoteText"/>
        <w:jc w:val="both"/>
        <w:rPr>
          <w:rFonts w:ascii="Times New Roman" w:hAnsi="Times New Roman" w:cs="Times New Roman"/>
          <w:lang w:val="fr-FR"/>
        </w:rPr>
      </w:pPr>
      <w:r w:rsidRPr="001C2BED">
        <w:rPr>
          <w:rStyle w:val="FootnoteReference"/>
          <w:rFonts w:ascii="Times New Roman" w:hAnsi="Times New Roman" w:cs="Times New Roman"/>
        </w:rPr>
        <w:footnoteRef/>
      </w:r>
      <w:r w:rsidRPr="001C2BED">
        <w:rPr>
          <w:rFonts w:ascii="Times New Roman" w:hAnsi="Times New Roman" w:cs="Times New Roman"/>
        </w:rPr>
        <w:t>Μ</w:t>
      </w:r>
      <w:r w:rsidRPr="001C2BED">
        <w:rPr>
          <w:rFonts w:ascii="Times New Roman" w:hAnsi="Times New Roman" w:cs="Times New Roman"/>
          <w:lang w:val="fr-FR"/>
        </w:rPr>
        <w:t>. 1684, Carrefour/</w:t>
      </w:r>
      <w:proofErr w:type="spellStart"/>
      <w:r w:rsidRPr="001C2BED">
        <w:rPr>
          <w:rFonts w:ascii="Times New Roman" w:hAnsi="Times New Roman" w:cs="Times New Roman"/>
          <w:lang w:val="fr-FR"/>
        </w:rPr>
        <w:t>Promodes</w:t>
      </w:r>
      <w:proofErr w:type="spellEnd"/>
      <w:r w:rsidRPr="001C2BED">
        <w:rPr>
          <w:rFonts w:ascii="Times New Roman" w:hAnsi="Times New Roman" w:cs="Times New Roman"/>
          <w:lang w:val="fr-FR"/>
        </w:rPr>
        <w:t xml:space="preserve">,25.01.2000, http://europe.eu.int/comm/competition/mergers//index/m33.html#m_1684. </w:t>
      </w:r>
    </w:p>
  </w:footnote>
  <w:footnote w:id="219">
    <w:p w:rsidR="00176031" w:rsidRPr="001C2BED" w:rsidRDefault="00176031" w:rsidP="001C2BED">
      <w:pPr>
        <w:pStyle w:val="FootnoteText"/>
        <w:jc w:val="both"/>
        <w:rPr>
          <w:rFonts w:ascii="Times New Roman" w:hAnsi="Times New Roman" w:cs="Times New Roman"/>
          <w:lang w:val="en-US"/>
        </w:rPr>
      </w:pPr>
      <w:r w:rsidRPr="001C2BED">
        <w:rPr>
          <w:rStyle w:val="FootnoteReference"/>
          <w:rFonts w:ascii="Times New Roman" w:hAnsi="Times New Roman" w:cs="Times New Roman"/>
        </w:rPr>
        <w:footnoteRef/>
      </w:r>
      <w:proofErr w:type="spellStart"/>
      <w:r w:rsidRPr="001C2BED">
        <w:rPr>
          <w:rFonts w:ascii="Times New Roman" w:hAnsi="Times New Roman" w:cs="Times New Roman"/>
          <w:lang w:val="en-US"/>
        </w:rPr>
        <w:t>Lexecon</w:t>
      </w:r>
      <w:proofErr w:type="spellEnd"/>
      <w:r w:rsidRPr="001C2BED">
        <w:rPr>
          <w:rFonts w:ascii="Times New Roman" w:hAnsi="Times New Roman" w:cs="Times New Roman"/>
          <w:lang w:val="en-US"/>
        </w:rPr>
        <w:t xml:space="preserve">, “Buyer Power”, (2001), http://www.lexecon.co.uk/assets/buyer_power.pdf, </w:t>
      </w:r>
      <w:r w:rsidRPr="001C2BED">
        <w:rPr>
          <w:rFonts w:ascii="Times New Roman" w:hAnsi="Times New Roman" w:cs="Times New Roman"/>
        </w:rPr>
        <w:t>σελ</w:t>
      </w:r>
      <w:r w:rsidRPr="001C2BED">
        <w:rPr>
          <w:rFonts w:ascii="Times New Roman" w:hAnsi="Times New Roman" w:cs="Times New Roman"/>
          <w:lang w:val="en-US"/>
        </w:rPr>
        <w:t>. 2.</w:t>
      </w:r>
    </w:p>
  </w:footnote>
  <w:footnote w:id="220">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76031">
        <w:rPr>
          <w:rFonts w:ascii="Times New Roman" w:hAnsi="Times New Roman" w:cs="Times New Roman"/>
          <w:i/>
          <w:lang w:val="en-US"/>
        </w:rPr>
        <w:t>Ibid</w:t>
      </w:r>
      <w:r w:rsidRPr="00176031">
        <w:rPr>
          <w:rFonts w:ascii="Times New Roman" w:hAnsi="Times New Roman" w:cs="Times New Roman"/>
          <w:i/>
        </w:rPr>
        <w:t>.</w:t>
      </w:r>
    </w:p>
  </w:footnote>
  <w:footnote w:id="221">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Βλ. για </w:t>
      </w:r>
      <w:r w:rsidRPr="001C2BED">
        <w:rPr>
          <w:rFonts w:ascii="Times New Roman" w:hAnsi="Times New Roman" w:cs="Times New Roman"/>
        </w:rPr>
        <w:t xml:space="preserve">τα παραπάνω </w:t>
      </w:r>
      <w:r w:rsidRPr="001C2BED">
        <w:rPr>
          <w:rFonts w:ascii="Times New Roman" w:hAnsi="Times New Roman" w:cs="Times New Roman"/>
          <w:i/>
        </w:rPr>
        <w:t>Καρύδη</w:t>
      </w:r>
      <w:r w:rsidRPr="001C2BED">
        <w:rPr>
          <w:rFonts w:ascii="Times New Roman" w:hAnsi="Times New Roman" w:cs="Times New Roman"/>
        </w:rPr>
        <w:t xml:space="preserve">, ό.π., σελ. 370-371· </w:t>
      </w:r>
      <w:r w:rsidRPr="001C2BED">
        <w:rPr>
          <w:rFonts w:ascii="Times New Roman" w:hAnsi="Times New Roman" w:cs="Times New Roman"/>
          <w:i/>
        </w:rPr>
        <w:t>Κοκκόρη/Λουκά</w:t>
      </w:r>
      <w:r w:rsidRPr="001C2BED">
        <w:rPr>
          <w:rFonts w:ascii="Times New Roman" w:hAnsi="Times New Roman" w:cs="Times New Roman"/>
        </w:rPr>
        <w:t>, §17. Συγκεντρώσεις Επιχειρήσεων σε Τζουγανάτο Δ., Δίκαιο του Ελεύθερου Ανταγωνισμού, Νομική Βιβλιοθήκη, Αθήνα 2013, σελ. 838-839.</w:t>
      </w:r>
    </w:p>
  </w:footnote>
  <w:footnote w:id="222">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Απόφαση 97/610/ΕΚ της Επιτροπής στην υπόθεση Μ.774 – </w:t>
      </w:r>
      <w:r w:rsidRPr="001C2BED">
        <w:rPr>
          <w:rFonts w:ascii="Times New Roman" w:hAnsi="Times New Roman" w:cs="Times New Roman"/>
          <w:lang w:val="en-US"/>
        </w:rPr>
        <w:t>Saint</w:t>
      </w:r>
      <w:r w:rsidRPr="001C2BED">
        <w:rPr>
          <w:rFonts w:ascii="Times New Roman" w:hAnsi="Times New Roman" w:cs="Times New Roman"/>
        </w:rPr>
        <w:t>-</w:t>
      </w:r>
      <w:proofErr w:type="spellStart"/>
      <w:r w:rsidRPr="001C2BED">
        <w:rPr>
          <w:rFonts w:ascii="Times New Roman" w:hAnsi="Times New Roman" w:cs="Times New Roman"/>
          <w:lang w:val="en-US"/>
        </w:rPr>
        <w:t>Gobain</w:t>
      </w:r>
      <w:proofErr w:type="spellEnd"/>
      <w:r w:rsidRPr="001C2BED">
        <w:rPr>
          <w:rFonts w:ascii="Times New Roman" w:hAnsi="Times New Roman" w:cs="Times New Roman"/>
        </w:rPr>
        <w:t>/</w:t>
      </w:r>
      <w:proofErr w:type="spellStart"/>
      <w:r w:rsidRPr="001C2BED">
        <w:rPr>
          <w:rFonts w:ascii="Times New Roman" w:hAnsi="Times New Roman" w:cs="Times New Roman"/>
          <w:lang w:val="en-US"/>
        </w:rPr>
        <w:t>Wacker</w:t>
      </w:r>
      <w:proofErr w:type="spellEnd"/>
      <w:r w:rsidRPr="001C2BED">
        <w:rPr>
          <w:rFonts w:ascii="Times New Roman" w:hAnsi="Times New Roman" w:cs="Times New Roman"/>
        </w:rPr>
        <w:t>-</w:t>
      </w:r>
      <w:proofErr w:type="spellStart"/>
      <w:r w:rsidRPr="001C2BED">
        <w:rPr>
          <w:rFonts w:ascii="Times New Roman" w:hAnsi="Times New Roman" w:cs="Times New Roman"/>
          <w:lang w:val="en-US"/>
        </w:rPr>
        <w:t>Chemie</w:t>
      </w:r>
      <w:proofErr w:type="spellEnd"/>
      <w:r w:rsidRPr="001C2BED">
        <w:rPr>
          <w:rFonts w:ascii="Times New Roman" w:hAnsi="Times New Roman" w:cs="Times New Roman"/>
        </w:rPr>
        <w:t>/</w:t>
      </w:r>
      <w:r w:rsidRPr="001C2BED">
        <w:rPr>
          <w:rFonts w:ascii="Times New Roman" w:hAnsi="Times New Roman" w:cs="Times New Roman"/>
          <w:lang w:val="en-US"/>
        </w:rPr>
        <w:t>NOM</w:t>
      </w:r>
      <w:r w:rsidRPr="001C2BED">
        <w:rPr>
          <w:rFonts w:ascii="Times New Roman" w:hAnsi="Times New Roman" w:cs="Times New Roman"/>
        </w:rPr>
        <w:t xml:space="preserve">, </w:t>
      </w:r>
      <w:r w:rsidRPr="001C2BED">
        <w:rPr>
          <w:rFonts w:ascii="Times New Roman" w:hAnsi="Times New Roman" w:cs="Times New Roman"/>
          <w:lang w:val="en-US"/>
        </w:rPr>
        <w:t>EEL</w:t>
      </w:r>
      <w:r w:rsidRPr="001C2BED">
        <w:rPr>
          <w:rFonts w:ascii="Times New Roman" w:hAnsi="Times New Roman" w:cs="Times New Roman"/>
        </w:rPr>
        <w:t xml:space="preserve"> 247 της 10.09.1997, σελ. 1, σημεία 184-187.  </w:t>
      </w:r>
    </w:p>
  </w:footnote>
  <w:footnote w:id="223">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Απόφαση 94/811/ΕΚ της Επιτροπής στην υπόθεση Μ.269 – </w:t>
      </w:r>
      <w:r w:rsidRPr="001C2BED">
        <w:rPr>
          <w:rFonts w:ascii="Times New Roman" w:hAnsi="Times New Roman" w:cs="Times New Roman"/>
          <w:lang w:val="en-US"/>
        </w:rPr>
        <w:t>Shell</w:t>
      </w:r>
      <w:r w:rsidRPr="001C2BED">
        <w:rPr>
          <w:rFonts w:ascii="Times New Roman" w:hAnsi="Times New Roman" w:cs="Times New Roman"/>
        </w:rPr>
        <w:t>/</w:t>
      </w:r>
      <w:proofErr w:type="spellStart"/>
      <w:r w:rsidRPr="001C2BED">
        <w:rPr>
          <w:rFonts w:ascii="Times New Roman" w:hAnsi="Times New Roman" w:cs="Times New Roman"/>
          <w:lang w:val="en-US"/>
        </w:rPr>
        <w:t>Montecatini</w:t>
      </w:r>
      <w:proofErr w:type="spellEnd"/>
      <w:r w:rsidRPr="001C2BED">
        <w:rPr>
          <w:rFonts w:ascii="Times New Roman" w:hAnsi="Times New Roman" w:cs="Times New Roman"/>
        </w:rPr>
        <w:t xml:space="preserve">, </w:t>
      </w:r>
      <w:r w:rsidRPr="001C2BED">
        <w:rPr>
          <w:rFonts w:ascii="Times New Roman" w:hAnsi="Times New Roman" w:cs="Times New Roman"/>
          <w:lang w:val="en-US"/>
        </w:rPr>
        <w:t>EEL</w:t>
      </w:r>
      <w:r w:rsidRPr="001C2BED">
        <w:rPr>
          <w:rFonts w:ascii="Times New Roman" w:hAnsi="Times New Roman" w:cs="Times New Roman"/>
        </w:rPr>
        <w:t xml:space="preserve"> 332 της 22.12.1994, σελ. 48, σημείο 32.</w:t>
      </w:r>
    </w:p>
  </w:footnote>
  <w:footnote w:id="224">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Απόφαση 98/327/ΕΚ της Επιτροπής στην υπόθεση Μ.883 – </w:t>
      </w:r>
      <w:r w:rsidRPr="001C2BED">
        <w:rPr>
          <w:rFonts w:ascii="Times New Roman" w:hAnsi="Times New Roman" w:cs="Times New Roman"/>
          <w:lang w:val="en-US"/>
        </w:rPr>
        <w:t>TheCoca</w:t>
      </w:r>
      <w:r w:rsidRPr="001C2BED">
        <w:rPr>
          <w:rFonts w:ascii="Times New Roman" w:hAnsi="Times New Roman" w:cs="Times New Roman"/>
        </w:rPr>
        <w:t>-</w:t>
      </w:r>
      <w:r w:rsidRPr="001C2BED">
        <w:rPr>
          <w:rFonts w:ascii="Times New Roman" w:hAnsi="Times New Roman" w:cs="Times New Roman"/>
          <w:lang w:val="en-US"/>
        </w:rPr>
        <w:t>ColaCompany</w:t>
      </w:r>
      <w:r w:rsidRPr="001C2BED">
        <w:rPr>
          <w:rFonts w:ascii="Times New Roman" w:hAnsi="Times New Roman" w:cs="Times New Roman"/>
        </w:rPr>
        <w:t>/</w:t>
      </w:r>
      <w:r w:rsidRPr="001C2BED">
        <w:rPr>
          <w:rFonts w:ascii="Times New Roman" w:hAnsi="Times New Roman" w:cs="Times New Roman"/>
          <w:lang w:val="en-US"/>
        </w:rPr>
        <w:t>CarlsbergA</w:t>
      </w:r>
      <w:r w:rsidRPr="001C2BED">
        <w:rPr>
          <w:rFonts w:ascii="Times New Roman" w:hAnsi="Times New Roman" w:cs="Times New Roman"/>
        </w:rPr>
        <w:t>/</w:t>
      </w:r>
      <w:r w:rsidRPr="001C2BED">
        <w:rPr>
          <w:rFonts w:ascii="Times New Roman" w:hAnsi="Times New Roman" w:cs="Times New Roman"/>
          <w:lang w:val="en-US"/>
        </w:rPr>
        <w:t>S</w:t>
      </w:r>
      <w:r w:rsidRPr="001C2BED">
        <w:rPr>
          <w:rFonts w:ascii="Times New Roman" w:hAnsi="Times New Roman" w:cs="Times New Roman"/>
        </w:rPr>
        <w:t xml:space="preserve">, ΕΕ </w:t>
      </w:r>
      <w:r w:rsidRPr="001C2BED">
        <w:rPr>
          <w:rFonts w:ascii="Times New Roman" w:hAnsi="Times New Roman" w:cs="Times New Roman"/>
          <w:lang w:val="en-US"/>
        </w:rPr>
        <w:t>L</w:t>
      </w:r>
      <w:r w:rsidRPr="001C2BED">
        <w:rPr>
          <w:rFonts w:ascii="Times New Roman" w:hAnsi="Times New Roman" w:cs="Times New Roman"/>
        </w:rPr>
        <w:t xml:space="preserve"> 145 της 15.5.1998, σελ. 41, σημείο 74.</w:t>
      </w:r>
    </w:p>
  </w:footnote>
  <w:footnote w:id="225">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1C2BED">
        <w:rPr>
          <w:rFonts w:ascii="Times New Roman" w:hAnsi="Times New Roman" w:cs="Times New Roman"/>
          <w:lang w:val="en-US"/>
        </w:rPr>
        <w:t>Ibid</w:t>
      </w:r>
      <w:r w:rsidRPr="001C2BED">
        <w:rPr>
          <w:rFonts w:ascii="Times New Roman" w:hAnsi="Times New Roman" w:cs="Times New Roman"/>
        </w:rPr>
        <w:t>, σημεία 72-73.</w:t>
      </w:r>
      <w:proofErr w:type="gramEnd"/>
    </w:p>
  </w:footnote>
  <w:footnote w:id="226">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Απόφαση 2002/156/ΕΚ της Επιτροπής στην υπόθεση </w:t>
      </w:r>
      <w:r w:rsidRPr="001C2BED">
        <w:rPr>
          <w:rFonts w:ascii="Times New Roman" w:hAnsi="Times New Roman" w:cs="Times New Roman"/>
          <w:lang w:val="en-US"/>
        </w:rPr>
        <w:t>COMP</w:t>
      </w:r>
      <w:r w:rsidRPr="001C2BED">
        <w:rPr>
          <w:rFonts w:ascii="Times New Roman" w:hAnsi="Times New Roman" w:cs="Times New Roman"/>
        </w:rPr>
        <w:t>/</w:t>
      </w:r>
      <w:r w:rsidRPr="001C2BED">
        <w:rPr>
          <w:rFonts w:ascii="Times New Roman" w:hAnsi="Times New Roman" w:cs="Times New Roman"/>
          <w:lang w:val="en-US"/>
        </w:rPr>
        <w:t>M</w:t>
      </w:r>
      <w:r w:rsidRPr="001C2BED">
        <w:rPr>
          <w:rFonts w:ascii="Times New Roman" w:hAnsi="Times New Roman" w:cs="Times New Roman"/>
        </w:rPr>
        <w:t xml:space="preserve">.2097 – </w:t>
      </w:r>
      <w:r w:rsidRPr="001C2BED">
        <w:rPr>
          <w:rFonts w:ascii="Times New Roman" w:hAnsi="Times New Roman" w:cs="Times New Roman"/>
          <w:lang w:val="en-US"/>
        </w:rPr>
        <w:t>SCA</w:t>
      </w:r>
      <w:r w:rsidRPr="001C2BED">
        <w:rPr>
          <w:rFonts w:ascii="Times New Roman" w:hAnsi="Times New Roman" w:cs="Times New Roman"/>
        </w:rPr>
        <w:t>/</w:t>
      </w:r>
      <w:r w:rsidRPr="001C2BED">
        <w:rPr>
          <w:rFonts w:ascii="Times New Roman" w:hAnsi="Times New Roman" w:cs="Times New Roman"/>
          <w:lang w:val="en-US"/>
        </w:rPr>
        <w:t>Mets</w:t>
      </w:r>
      <w:r w:rsidRPr="001C2BED">
        <w:rPr>
          <w:rFonts w:ascii="Times New Roman" w:hAnsi="Times New Roman" w:cs="Times New Roman"/>
        </w:rPr>
        <w:t xml:space="preserve">ä </w:t>
      </w:r>
      <w:r w:rsidRPr="001C2BED">
        <w:rPr>
          <w:rFonts w:ascii="Times New Roman" w:hAnsi="Times New Roman" w:cs="Times New Roman"/>
          <w:lang w:val="en-US"/>
        </w:rPr>
        <w:t>Tissue</w:t>
      </w:r>
      <w:r w:rsidRPr="001C2BED">
        <w:rPr>
          <w:rFonts w:ascii="Times New Roman" w:hAnsi="Times New Roman" w:cs="Times New Roman"/>
        </w:rPr>
        <w:t xml:space="preserve">, ΕΕ </w:t>
      </w:r>
      <w:r w:rsidRPr="001C2BED">
        <w:rPr>
          <w:rFonts w:ascii="Times New Roman" w:hAnsi="Times New Roman" w:cs="Times New Roman"/>
          <w:lang w:val="en-US"/>
        </w:rPr>
        <w:t>L</w:t>
      </w:r>
      <w:r w:rsidRPr="001C2BED">
        <w:rPr>
          <w:rFonts w:ascii="Times New Roman" w:hAnsi="Times New Roman" w:cs="Times New Roman"/>
        </w:rPr>
        <w:t xml:space="preserve"> 57 της 27.2.2002, σελ. 1, σημεία 83-84. </w:t>
      </w:r>
    </w:p>
  </w:footnote>
  <w:footnote w:id="227">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Βλ. Κατευθυντήριες Γραμμές για την αξιολόγηση των οριζόντιων συγκεντρώσεων, σύμφωνα με τον Κανονισμό του Συμβουλίου για τον έλεγχο των συγκεντρώσεων μεταξύ επιχειρήσεων, ΕΕ </w:t>
      </w:r>
      <w:r w:rsidRPr="001C2BED">
        <w:rPr>
          <w:rFonts w:ascii="Times New Roman" w:hAnsi="Times New Roman" w:cs="Times New Roman"/>
          <w:lang w:val="en-US"/>
        </w:rPr>
        <w:t>C</w:t>
      </w:r>
      <w:r w:rsidRPr="001C2BED">
        <w:rPr>
          <w:rFonts w:ascii="Times New Roman" w:hAnsi="Times New Roman" w:cs="Times New Roman"/>
        </w:rPr>
        <w:t>31, 5.2.2004, σελ. 5-18, σημεία 76 επ.</w:t>
      </w:r>
    </w:p>
  </w:footnote>
  <w:footnote w:id="228">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Βλ. λ.χ. Απόφαση της Επιτροπής της 14</w:t>
      </w:r>
      <w:r w:rsidRPr="001C2BED">
        <w:rPr>
          <w:rFonts w:ascii="Times New Roman" w:hAnsi="Times New Roman" w:cs="Times New Roman"/>
          <w:vertAlign w:val="superscript"/>
        </w:rPr>
        <w:t>ης</w:t>
      </w:r>
      <w:r w:rsidRPr="001C2BED">
        <w:rPr>
          <w:rFonts w:ascii="Times New Roman" w:hAnsi="Times New Roman" w:cs="Times New Roman"/>
        </w:rPr>
        <w:t xml:space="preserve"> Μαΐου </w:t>
      </w:r>
      <w:r w:rsidRPr="001C2BED">
        <w:rPr>
          <w:rFonts w:ascii="Times New Roman" w:hAnsi="Times New Roman" w:cs="Times New Roman"/>
        </w:rPr>
        <w:t>2008 (COMP/M.4854 — TomTom/TeleAtlas), ΕΕ C 237/8 της 16.9.2008, παρ. 238-250· Απόφαση της Επιτροπής της 02</w:t>
      </w:r>
      <w:r w:rsidRPr="001C2BED">
        <w:rPr>
          <w:rFonts w:ascii="Times New Roman" w:hAnsi="Times New Roman" w:cs="Times New Roman"/>
          <w:vertAlign w:val="superscript"/>
        </w:rPr>
        <w:t>ης</w:t>
      </w:r>
      <w:r w:rsidRPr="001C2BED">
        <w:rPr>
          <w:rFonts w:ascii="Times New Roman" w:hAnsi="Times New Roman" w:cs="Times New Roman"/>
        </w:rPr>
        <w:t xml:space="preserve"> Ιουλίου 2008 (COMP/M.4942 — Nokia/Navteq), ΕΕ </w:t>
      </w:r>
      <w:r w:rsidRPr="001C2BED">
        <w:rPr>
          <w:rFonts w:ascii="Times New Roman" w:hAnsi="Times New Roman" w:cs="Times New Roman"/>
          <w:lang w:val="en-US"/>
        </w:rPr>
        <w:t>C</w:t>
      </w:r>
      <w:r w:rsidRPr="001C2BED">
        <w:rPr>
          <w:rFonts w:ascii="Times New Roman" w:hAnsi="Times New Roman" w:cs="Times New Roman"/>
        </w:rPr>
        <w:t xml:space="preserve"> 13/8 της 20.01.2009, παρ. 364-376.     </w:t>
      </w:r>
    </w:p>
  </w:footnote>
  <w:footnote w:id="229">
    <w:p w:rsidR="00176031" w:rsidRPr="001C2BED" w:rsidRDefault="00176031" w:rsidP="001C2BED">
      <w:pPr>
        <w:autoSpaceDE w:val="0"/>
        <w:autoSpaceDN w:val="0"/>
        <w:adjustRightInd w:val="0"/>
        <w:spacing w:after="0" w:line="240" w:lineRule="auto"/>
        <w:jc w:val="both"/>
        <w:rPr>
          <w:rFonts w:ascii="Times New Roman" w:hAnsi="Times New Roman" w:cs="Times New Roman"/>
          <w:sz w:val="20"/>
          <w:szCs w:val="20"/>
        </w:rPr>
      </w:pPr>
      <w:r w:rsidRPr="001C2BED">
        <w:rPr>
          <w:rStyle w:val="FootnoteReference"/>
          <w:rFonts w:ascii="Times New Roman" w:hAnsi="Times New Roman" w:cs="Times New Roman"/>
          <w:sz w:val="20"/>
          <w:szCs w:val="20"/>
        </w:rPr>
        <w:footnoteRef/>
      </w:r>
      <w:r w:rsidRPr="001C2BED">
        <w:rPr>
          <w:rFonts w:ascii="Times New Roman" w:hAnsi="Times New Roman" w:cs="Times New Roman"/>
          <w:sz w:val="20"/>
          <w:szCs w:val="20"/>
        </w:rPr>
        <w:t xml:space="preserve">Βλ. </w:t>
      </w:r>
      <w:r w:rsidRPr="001C2BED">
        <w:rPr>
          <w:rFonts w:ascii="Times New Roman" w:hAnsi="Times New Roman" w:cs="Times New Roman"/>
          <w:i/>
          <w:sz w:val="20"/>
          <w:szCs w:val="20"/>
          <w:lang w:val="en-US"/>
        </w:rPr>
        <w:t>R</w:t>
      </w:r>
      <w:r w:rsidRPr="001C2BED">
        <w:rPr>
          <w:rFonts w:ascii="Times New Roman" w:hAnsi="Times New Roman" w:cs="Times New Roman"/>
          <w:i/>
          <w:sz w:val="20"/>
          <w:szCs w:val="20"/>
        </w:rPr>
        <w:t>ö</w:t>
      </w:r>
      <w:proofErr w:type="spellStart"/>
      <w:r w:rsidRPr="001C2BED">
        <w:rPr>
          <w:rFonts w:ascii="Times New Roman" w:hAnsi="Times New Roman" w:cs="Times New Roman"/>
          <w:i/>
          <w:sz w:val="20"/>
          <w:szCs w:val="20"/>
          <w:lang w:val="en-US"/>
        </w:rPr>
        <w:t>llerL</w:t>
      </w:r>
      <w:proofErr w:type="spellEnd"/>
      <w:r w:rsidRPr="001C2BED">
        <w:rPr>
          <w:rFonts w:ascii="Times New Roman" w:hAnsi="Times New Roman" w:cs="Times New Roman"/>
          <w:i/>
          <w:sz w:val="20"/>
          <w:szCs w:val="20"/>
        </w:rPr>
        <w:t>.-</w:t>
      </w:r>
      <w:r w:rsidRPr="001C2BED">
        <w:rPr>
          <w:rFonts w:ascii="Times New Roman" w:hAnsi="Times New Roman" w:cs="Times New Roman"/>
          <w:i/>
          <w:sz w:val="20"/>
          <w:szCs w:val="20"/>
          <w:lang w:val="en-US"/>
        </w:rPr>
        <w:t>H</w:t>
      </w:r>
      <w:r w:rsidRPr="001C2BED">
        <w:rPr>
          <w:rFonts w:ascii="Times New Roman" w:hAnsi="Times New Roman" w:cs="Times New Roman"/>
          <w:i/>
          <w:sz w:val="20"/>
          <w:szCs w:val="20"/>
        </w:rPr>
        <w:t>./</w:t>
      </w:r>
      <w:proofErr w:type="spellStart"/>
      <w:r w:rsidRPr="001C2BED">
        <w:rPr>
          <w:rFonts w:ascii="Times New Roman" w:hAnsi="Times New Roman" w:cs="Times New Roman"/>
          <w:i/>
          <w:sz w:val="20"/>
          <w:szCs w:val="20"/>
          <w:lang w:val="en-US"/>
        </w:rPr>
        <w:t>StenneckJ</w:t>
      </w:r>
      <w:proofErr w:type="spellEnd"/>
      <w:r w:rsidRPr="001C2BED">
        <w:rPr>
          <w:rFonts w:ascii="Times New Roman" w:hAnsi="Times New Roman" w:cs="Times New Roman"/>
          <w:i/>
          <w:sz w:val="20"/>
          <w:szCs w:val="20"/>
        </w:rPr>
        <w:t>./</w:t>
      </w:r>
      <w:proofErr w:type="spellStart"/>
      <w:r w:rsidRPr="001C2BED">
        <w:rPr>
          <w:rFonts w:ascii="Times New Roman" w:hAnsi="Times New Roman" w:cs="Times New Roman"/>
          <w:i/>
          <w:sz w:val="20"/>
          <w:szCs w:val="20"/>
          <w:lang w:val="en-US"/>
        </w:rPr>
        <w:t>VerbovenF</w:t>
      </w:r>
      <w:proofErr w:type="spellEnd"/>
      <w:r w:rsidRPr="001C2BED">
        <w:rPr>
          <w:rFonts w:ascii="Times New Roman" w:hAnsi="Times New Roman" w:cs="Times New Roman"/>
          <w:i/>
          <w:sz w:val="20"/>
          <w:szCs w:val="20"/>
        </w:rPr>
        <w:t>.,</w:t>
      </w:r>
      <w:proofErr w:type="spellStart"/>
      <w:r w:rsidRPr="001C2BED">
        <w:rPr>
          <w:rFonts w:ascii="Times New Roman" w:hAnsi="Times New Roman" w:cs="Times New Roman"/>
          <w:sz w:val="20"/>
          <w:szCs w:val="20"/>
          <w:lang w:val="en-US"/>
        </w:rPr>
        <w:t>EfficiencyGainsfromMergers</w:t>
      </w:r>
      <w:proofErr w:type="spellEnd"/>
      <w:r w:rsidRPr="001C2BED">
        <w:rPr>
          <w:rFonts w:ascii="Times New Roman" w:hAnsi="Times New Roman" w:cs="Times New Roman"/>
          <w:sz w:val="20"/>
          <w:szCs w:val="20"/>
        </w:rPr>
        <w:t xml:space="preserve">, σε </w:t>
      </w:r>
      <w:proofErr w:type="spellStart"/>
      <w:r w:rsidRPr="001C2BED">
        <w:rPr>
          <w:rFonts w:ascii="Times New Roman" w:hAnsi="Times New Roman" w:cs="Times New Roman"/>
          <w:sz w:val="20"/>
          <w:szCs w:val="20"/>
          <w:lang w:val="en-US"/>
        </w:rPr>
        <w:t>IlzkovitzF</w:t>
      </w:r>
      <w:proofErr w:type="spellEnd"/>
      <w:proofErr w:type="gramStart"/>
      <w:r w:rsidRPr="001C2BED">
        <w:rPr>
          <w:rFonts w:ascii="Times New Roman" w:hAnsi="Times New Roman" w:cs="Times New Roman"/>
          <w:sz w:val="20"/>
          <w:szCs w:val="20"/>
        </w:rPr>
        <w:t>./</w:t>
      </w:r>
      <w:proofErr w:type="spellStart"/>
      <w:proofErr w:type="gramEnd"/>
      <w:r w:rsidRPr="001C2BED">
        <w:rPr>
          <w:rFonts w:ascii="Times New Roman" w:hAnsi="Times New Roman" w:cs="Times New Roman"/>
          <w:sz w:val="20"/>
          <w:szCs w:val="20"/>
          <w:lang w:val="en-US"/>
        </w:rPr>
        <w:t>MeiklejohnR</w:t>
      </w:r>
      <w:proofErr w:type="spellEnd"/>
      <w:r w:rsidRPr="001C2BED">
        <w:rPr>
          <w:rFonts w:ascii="Times New Roman" w:hAnsi="Times New Roman" w:cs="Times New Roman"/>
          <w:sz w:val="20"/>
          <w:szCs w:val="20"/>
        </w:rPr>
        <w:t>. (</w:t>
      </w:r>
      <w:proofErr w:type="spellStart"/>
      <w:r w:rsidRPr="001C2BED">
        <w:rPr>
          <w:rFonts w:ascii="Times New Roman" w:hAnsi="Times New Roman" w:cs="Times New Roman"/>
          <w:sz w:val="20"/>
          <w:szCs w:val="20"/>
          <w:lang w:val="en-US"/>
        </w:rPr>
        <w:t>ed</w:t>
      </w:r>
      <w:proofErr w:type="spellEnd"/>
      <w:r w:rsidRPr="001C2BED">
        <w:rPr>
          <w:rFonts w:ascii="Times New Roman" w:hAnsi="Times New Roman" w:cs="Times New Roman"/>
          <w:sz w:val="20"/>
          <w:szCs w:val="20"/>
        </w:rPr>
        <w:t xml:space="preserve">.), </w:t>
      </w:r>
      <w:r w:rsidRPr="001C2BED">
        <w:rPr>
          <w:rFonts w:ascii="Times New Roman" w:hAnsi="Times New Roman" w:cs="Times New Roman"/>
          <w:sz w:val="20"/>
          <w:szCs w:val="20"/>
          <w:lang w:val="en-US"/>
        </w:rPr>
        <w:t>EuropeanMergerControl</w:t>
      </w:r>
      <w:r w:rsidRPr="001C2BED">
        <w:rPr>
          <w:rFonts w:ascii="Times New Roman" w:hAnsi="Times New Roman" w:cs="Times New Roman"/>
          <w:sz w:val="20"/>
          <w:szCs w:val="20"/>
        </w:rPr>
        <w:t xml:space="preserve">: </w:t>
      </w:r>
      <w:r w:rsidRPr="001C2BED">
        <w:rPr>
          <w:rFonts w:ascii="Times New Roman" w:hAnsi="Times New Roman" w:cs="Times New Roman"/>
          <w:sz w:val="20"/>
          <w:szCs w:val="20"/>
          <w:lang w:val="en-US"/>
        </w:rPr>
        <w:t>Doweneedan</w:t>
      </w:r>
      <w:r w:rsidRPr="001C2BED">
        <w:rPr>
          <w:rFonts w:ascii="Times New Roman" w:hAnsi="Times New Roman" w:cs="Times New Roman"/>
          <w:sz w:val="20"/>
          <w:szCs w:val="20"/>
          <w:lang w:val="en-GB"/>
        </w:rPr>
        <w:t>EfficiencyDefence</w:t>
      </w:r>
      <w:r w:rsidRPr="001C2BED">
        <w:rPr>
          <w:rFonts w:ascii="Times New Roman" w:hAnsi="Times New Roman" w:cs="Times New Roman"/>
          <w:sz w:val="20"/>
          <w:szCs w:val="20"/>
        </w:rPr>
        <w:t xml:space="preserve">, </w:t>
      </w:r>
      <w:r w:rsidRPr="001C2BED">
        <w:rPr>
          <w:rFonts w:ascii="Times New Roman" w:hAnsi="Times New Roman" w:cs="Times New Roman"/>
          <w:sz w:val="20"/>
          <w:szCs w:val="20"/>
          <w:lang w:val="en-US"/>
        </w:rPr>
        <w:t>EdwardElgarPublishing</w:t>
      </w:r>
      <w:r w:rsidRPr="001C2BED">
        <w:rPr>
          <w:rFonts w:ascii="Times New Roman" w:hAnsi="Times New Roman" w:cs="Times New Roman"/>
          <w:sz w:val="20"/>
          <w:szCs w:val="20"/>
        </w:rPr>
        <w:t xml:space="preserve">, </w:t>
      </w:r>
      <w:r w:rsidRPr="001C2BED">
        <w:rPr>
          <w:rFonts w:ascii="Times New Roman" w:hAnsi="Times New Roman" w:cs="Times New Roman"/>
          <w:sz w:val="20"/>
          <w:szCs w:val="20"/>
          <w:lang w:val="en-US"/>
        </w:rPr>
        <w:t>CheltenhamUK</w:t>
      </w:r>
      <w:r w:rsidRPr="001C2BED">
        <w:rPr>
          <w:rFonts w:ascii="Times New Roman" w:hAnsi="Times New Roman" w:cs="Times New Roman"/>
          <w:sz w:val="20"/>
          <w:szCs w:val="20"/>
        </w:rPr>
        <w:t>&amp;</w:t>
      </w:r>
      <w:r w:rsidRPr="001C2BED">
        <w:rPr>
          <w:rFonts w:ascii="Times New Roman" w:hAnsi="Times New Roman" w:cs="Times New Roman"/>
          <w:sz w:val="20"/>
          <w:szCs w:val="20"/>
          <w:lang w:val="en-US"/>
        </w:rPr>
        <w:t>NorthamptonMA</w:t>
      </w:r>
      <w:r w:rsidRPr="001C2BED">
        <w:rPr>
          <w:rFonts w:ascii="Times New Roman" w:hAnsi="Times New Roman" w:cs="Times New Roman"/>
          <w:sz w:val="20"/>
          <w:szCs w:val="20"/>
        </w:rPr>
        <w:t xml:space="preserve"> 2006, σελ. 84-202. Τα οφέλη για την οικονομική αποτελεσματικότητα που ενδέχεται να προκύψουν άμεσα από μια συγκέντρωση επιχειρήσεων μπορούν να έχουν σχέση με οικονομίες κλίμακας και φάσματος, με εξοικονόμηση δαπανών, καθώς και με την εξειδίκευση και την ελάχιστη αποδοτική κλίμακα που απαιτείται για μια αγορά.</w:t>
      </w:r>
    </w:p>
  </w:footnote>
  <w:footnote w:id="230">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Βλ. Απόφαση της Επιτροπής της </w:t>
      </w:r>
      <w:r w:rsidRPr="001C2BED">
        <w:rPr>
          <w:rFonts w:ascii="Times New Roman" w:hAnsi="Times New Roman" w:cs="Times New Roman"/>
        </w:rPr>
        <w:t xml:space="preserve">12/05/2006 (COMP/M.4057 - KORSNē / ASSIDOMĎ CARTONBOARD), ΕΕ C 209/12 της 31.8.2006, παρ. 63-64, όπου ως τέτοια δραστηριότητα χαρακτηρίστηκε η «χρησιμοποίηση του παραγωγικού δυναμικού» (σημείο 63) και επιπλέον κρίθηκε ότι η βελτίωση της αποτελεσματικότητας θα επέτρεπε στην οντότητα που θα προέκυπτε από τη συγκέντρωση να αναπτύξει μια συμπεριφορά που θα ενίσχυε τον ανταγωνισμό προς όφελος των καταναλωτών (παρ. 64). Για τη «χρησιμοποίηση του παραγωγικού δυναμικού» ως δραστηριότητα που συνεπάγεται βελτίωση της αποτελεσματικότητας στο πλαίσιο μιας συγκέντρωσης βλ. και Απόφαση της Επιτροπής της 18/01/2002 (υπόθεση IV/M.2502 - CARGILL / CERESTAR), ΕΕ C 40/7 της 14.2.2002, παρ. 19.  </w:t>
      </w:r>
    </w:p>
  </w:footnote>
  <w:footnote w:id="231">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Βλ. χαρακτηριστικά Απόφαση της Επιτροπής της 14</w:t>
      </w:r>
      <w:r w:rsidRPr="001C2BED">
        <w:rPr>
          <w:rFonts w:ascii="Times New Roman" w:hAnsi="Times New Roman" w:cs="Times New Roman"/>
          <w:vertAlign w:val="superscript"/>
        </w:rPr>
        <w:t>ης</w:t>
      </w:r>
      <w:r w:rsidRPr="001C2BED">
        <w:rPr>
          <w:rFonts w:ascii="Times New Roman" w:hAnsi="Times New Roman" w:cs="Times New Roman"/>
        </w:rPr>
        <w:t xml:space="preserve"> Μαΐου </w:t>
      </w:r>
      <w:r w:rsidRPr="001C2BED">
        <w:rPr>
          <w:rFonts w:ascii="Times New Roman" w:hAnsi="Times New Roman" w:cs="Times New Roman"/>
        </w:rPr>
        <w:t>2008 (COMP/M.4854 — TomTom/TeleAtlas), ΕΕ C 237/8 της 16.9.2008, παρ. 250 και Απόφαση της Επιτροπής της 02</w:t>
      </w:r>
      <w:r w:rsidRPr="001C2BED">
        <w:rPr>
          <w:rFonts w:ascii="Times New Roman" w:hAnsi="Times New Roman" w:cs="Times New Roman"/>
          <w:vertAlign w:val="superscript"/>
        </w:rPr>
        <w:t>ης</w:t>
      </w:r>
      <w:r w:rsidRPr="001C2BED">
        <w:rPr>
          <w:rFonts w:ascii="Times New Roman" w:hAnsi="Times New Roman" w:cs="Times New Roman"/>
        </w:rPr>
        <w:t xml:space="preserve"> Ιουλίου 2008 (COMP/M.4942 — Nokia/Navteq), ΕΕ </w:t>
      </w:r>
      <w:r w:rsidRPr="001C2BED">
        <w:rPr>
          <w:rFonts w:ascii="Times New Roman" w:hAnsi="Times New Roman" w:cs="Times New Roman"/>
          <w:lang w:val="en-US"/>
        </w:rPr>
        <w:t>C</w:t>
      </w:r>
      <w:r w:rsidRPr="001C2BED">
        <w:rPr>
          <w:rFonts w:ascii="Times New Roman" w:hAnsi="Times New Roman" w:cs="Times New Roman"/>
        </w:rPr>
        <w:t xml:space="preserve"> 13/8 της 20.01.2009, παρ. 376.</w:t>
      </w:r>
    </w:p>
  </w:footnote>
  <w:footnote w:id="232">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Βλ. </w:t>
      </w:r>
      <w:r w:rsidRPr="001C2BED">
        <w:rPr>
          <w:rFonts w:ascii="Times New Roman" w:hAnsi="Times New Roman" w:cs="Times New Roman"/>
        </w:rPr>
        <w:t xml:space="preserve">Απόφαση της Επιτροπής </w:t>
      </w:r>
      <w:r w:rsidRPr="001C2BED">
        <w:rPr>
          <w:rFonts w:ascii="Times New Roman" w:hAnsi="Times New Roman" w:cs="Times New Roman"/>
          <w:lang w:val="en-US"/>
        </w:rPr>
        <w:t>Kali</w:t>
      </w:r>
      <w:r w:rsidRPr="001C2BED">
        <w:rPr>
          <w:rFonts w:ascii="Times New Roman" w:hAnsi="Times New Roman" w:cs="Times New Roman"/>
        </w:rPr>
        <w:t>-</w:t>
      </w:r>
      <w:proofErr w:type="spellStart"/>
      <w:r w:rsidRPr="001C2BED">
        <w:rPr>
          <w:rFonts w:ascii="Times New Roman" w:hAnsi="Times New Roman" w:cs="Times New Roman"/>
          <w:lang w:val="en-US"/>
        </w:rPr>
        <w:t>Salz</w:t>
      </w:r>
      <w:proofErr w:type="spellEnd"/>
      <w:r w:rsidRPr="001C2BED">
        <w:rPr>
          <w:rFonts w:ascii="Times New Roman" w:hAnsi="Times New Roman" w:cs="Times New Roman"/>
        </w:rPr>
        <w:t xml:space="preserve">, 14.12.1993, </w:t>
      </w:r>
      <w:r w:rsidRPr="001C2BED">
        <w:rPr>
          <w:rFonts w:ascii="Times New Roman" w:hAnsi="Times New Roman" w:cs="Times New Roman"/>
          <w:lang w:val="en-US"/>
        </w:rPr>
        <w:t>EEL</w:t>
      </w:r>
      <w:r w:rsidRPr="001C2BED">
        <w:rPr>
          <w:rFonts w:ascii="Times New Roman" w:hAnsi="Times New Roman" w:cs="Times New Roman"/>
        </w:rPr>
        <w:t xml:space="preserve"> 186, 21.07.1994.</w:t>
      </w:r>
    </w:p>
  </w:footnote>
  <w:footnote w:id="233">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Βλ. για </w:t>
      </w:r>
      <w:r w:rsidRPr="001C2BED">
        <w:rPr>
          <w:rFonts w:ascii="Times New Roman" w:hAnsi="Times New Roman" w:cs="Times New Roman"/>
        </w:rPr>
        <w:t xml:space="preserve">τα παραπάνω </w:t>
      </w:r>
      <w:r w:rsidRPr="001C2BED">
        <w:rPr>
          <w:rFonts w:ascii="Times New Roman" w:hAnsi="Times New Roman" w:cs="Times New Roman"/>
          <w:i/>
        </w:rPr>
        <w:t>Καρύδη</w:t>
      </w:r>
      <w:r w:rsidRPr="001C2BED">
        <w:rPr>
          <w:rFonts w:ascii="Times New Roman" w:hAnsi="Times New Roman" w:cs="Times New Roman"/>
        </w:rPr>
        <w:t xml:space="preserve">, ό.π., σελ. 370-371· </w:t>
      </w:r>
      <w:r w:rsidRPr="001C2BED">
        <w:rPr>
          <w:rFonts w:ascii="Times New Roman" w:hAnsi="Times New Roman" w:cs="Times New Roman"/>
          <w:i/>
        </w:rPr>
        <w:t>Κοκκόρη/Λουκά</w:t>
      </w:r>
      <w:r w:rsidRPr="001C2BED">
        <w:rPr>
          <w:rFonts w:ascii="Times New Roman" w:hAnsi="Times New Roman" w:cs="Times New Roman"/>
        </w:rPr>
        <w:t xml:space="preserve">, ό.π., σελ. 835-837· </w:t>
      </w:r>
    </w:p>
  </w:footnote>
  <w:footnote w:id="234">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r w:rsidRPr="001C2BED">
        <w:rPr>
          <w:rFonts w:ascii="Times New Roman" w:hAnsi="Times New Roman" w:cs="Times New Roman"/>
        </w:rPr>
        <w:t xml:space="preserve">Βλ. Κατευθυντήριες Γραμμές για την αξιολόγηση των μη οριζόντιων συγκεντρώσεων, σύμφωνα με τον Κανονισμό του Συμβουλίου για τον έλεγχο των συγκεντρώσεων μεταξύ επιχειρήσεων, ΕΕ </w:t>
      </w:r>
      <w:r w:rsidRPr="001C2BED">
        <w:rPr>
          <w:rFonts w:ascii="Times New Roman" w:hAnsi="Times New Roman" w:cs="Times New Roman"/>
          <w:lang w:val="en-US"/>
        </w:rPr>
        <w:t>C</w:t>
      </w:r>
      <w:r w:rsidRPr="001C2BED">
        <w:rPr>
          <w:rFonts w:ascii="Times New Roman" w:hAnsi="Times New Roman" w:cs="Times New Roman"/>
        </w:rPr>
        <w:t>265, 18.10.2008, σελ. 6-25, ιδίως σημεία 13, 14.</w:t>
      </w:r>
    </w:p>
  </w:footnote>
  <w:footnote w:id="235">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3850D9">
        <w:rPr>
          <w:rFonts w:ascii="Times New Roman" w:hAnsi="Times New Roman" w:cs="Times New Roman"/>
          <w:i/>
          <w:lang w:val="en-US"/>
        </w:rPr>
        <w:t>Ibid</w:t>
      </w:r>
      <w:r w:rsidRPr="001C2BED">
        <w:rPr>
          <w:rFonts w:ascii="Times New Roman" w:hAnsi="Times New Roman" w:cs="Times New Roman"/>
        </w:rPr>
        <w:t>, σημείο 24.</w:t>
      </w:r>
      <w:proofErr w:type="gramEnd"/>
    </w:p>
  </w:footnote>
  <w:footnote w:id="236">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3850D9">
        <w:rPr>
          <w:rFonts w:ascii="Times New Roman" w:hAnsi="Times New Roman" w:cs="Times New Roman"/>
          <w:i/>
          <w:lang w:val="en-US"/>
        </w:rPr>
        <w:t>Ibid</w:t>
      </w:r>
      <w:r w:rsidRPr="001C2BED">
        <w:rPr>
          <w:rFonts w:ascii="Times New Roman" w:hAnsi="Times New Roman" w:cs="Times New Roman"/>
        </w:rPr>
        <w:t>, σημείο 18.</w:t>
      </w:r>
      <w:proofErr w:type="gramEnd"/>
    </w:p>
  </w:footnote>
  <w:footnote w:id="237">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3850D9">
        <w:rPr>
          <w:rFonts w:ascii="Times New Roman" w:hAnsi="Times New Roman" w:cs="Times New Roman"/>
          <w:i/>
          <w:lang w:val="en-US"/>
        </w:rPr>
        <w:t>Ibid</w:t>
      </w:r>
      <w:r w:rsidRPr="001C2BED">
        <w:rPr>
          <w:rFonts w:ascii="Times New Roman" w:hAnsi="Times New Roman" w:cs="Times New Roman"/>
        </w:rPr>
        <w:t>, σημείο 120.</w:t>
      </w:r>
      <w:proofErr w:type="gramEnd"/>
    </w:p>
  </w:footnote>
  <w:footnote w:id="238">
    <w:p w:rsidR="00176031" w:rsidRPr="001C2BED" w:rsidRDefault="00176031" w:rsidP="001C2BED">
      <w:pPr>
        <w:pStyle w:val="FootnoteText"/>
        <w:jc w:val="both"/>
        <w:rPr>
          <w:rFonts w:ascii="Times New Roman" w:hAnsi="Times New Roman" w:cs="Times New Roman"/>
        </w:rPr>
      </w:pPr>
      <w:r w:rsidRPr="001C2BED">
        <w:rPr>
          <w:rStyle w:val="FootnoteReference"/>
          <w:rFonts w:ascii="Times New Roman" w:hAnsi="Times New Roman" w:cs="Times New Roman"/>
        </w:rPr>
        <w:footnoteRef/>
      </w:r>
      <w:proofErr w:type="gramStart"/>
      <w:r w:rsidRPr="003850D9">
        <w:rPr>
          <w:rFonts w:ascii="Times New Roman" w:hAnsi="Times New Roman" w:cs="Times New Roman"/>
          <w:i/>
          <w:lang w:val="en-US"/>
        </w:rPr>
        <w:t>Ibid</w:t>
      </w:r>
      <w:r w:rsidRPr="001C2BED">
        <w:rPr>
          <w:rFonts w:ascii="Times New Roman" w:hAnsi="Times New Roman" w:cs="Times New Roman"/>
        </w:rPr>
        <w:t>, σημείο 81.</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C22E3"/>
    <w:multiLevelType w:val="hybridMultilevel"/>
    <w:tmpl w:val="CA4685C4"/>
    <w:lvl w:ilvl="0" w:tplc="4C4088F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731A8"/>
    <w:rsid w:val="00004B9B"/>
    <w:rsid w:val="00006F4E"/>
    <w:rsid w:val="000111A4"/>
    <w:rsid w:val="00011C04"/>
    <w:rsid w:val="000135E2"/>
    <w:rsid w:val="00013841"/>
    <w:rsid w:val="00016E58"/>
    <w:rsid w:val="000178E1"/>
    <w:rsid w:val="000246A4"/>
    <w:rsid w:val="00024E72"/>
    <w:rsid w:val="00025B03"/>
    <w:rsid w:val="00034812"/>
    <w:rsid w:val="00042CF8"/>
    <w:rsid w:val="00043594"/>
    <w:rsid w:val="00045419"/>
    <w:rsid w:val="000540BC"/>
    <w:rsid w:val="00055A0C"/>
    <w:rsid w:val="0006224D"/>
    <w:rsid w:val="00066186"/>
    <w:rsid w:val="000676D5"/>
    <w:rsid w:val="0007142D"/>
    <w:rsid w:val="00073258"/>
    <w:rsid w:val="00080507"/>
    <w:rsid w:val="00081859"/>
    <w:rsid w:val="0008337E"/>
    <w:rsid w:val="0008454D"/>
    <w:rsid w:val="000856A9"/>
    <w:rsid w:val="00093845"/>
    <w:rsid w:val="00094D37"/>
    <w:rsid w:val="000A1861"/>
    <w:rsid w:val="000A2F48"/>
    <w:rsid w:val="000B0532"/>
    <w:rsid w:val="000B117A"/>
    <w:rsid w:val="000B4592"/>
    <w:rsid w:val="000B5E91"/>
    <w:rsid w:val="000B76D3"/>
    <w:rsid w:val="000C4120"/>
    <w:rsid w:val="000C7B96"/>
    <w:rsid w:val="000D3C94"/>
    <w:rsid w:val="000D65A1"/>
    <w:rsid w:val="000E151A"/>
    <w:rsid w:val="000E3AEB"/>
    <w:rsid w:val="000F1EF1"/>
    <w:rsid w:val="000F4D92"/>
    <w:rsid w:val="00102DDB"/>
    <w:rsid w:val="00106B07"/>
    <w:rsid w:val="0012551D"/>
    <w:rsid w:val="00133D24"/>
    <w:rsid w:val="00133E30"/>
    <w:rsid w:val="0013558F"/>
    <w:rsid w:val="001379FE"/>
    <w:rsid w:val="00140431"/>
    <w:rsid w:val="001476BE"/>
    <w:rsid w:val="00150EEE"/>
    <w:rsid w:val="001544DF"/>
    <w:rsid w:val="00157C3E"/>
    <w:rsid w:val="00163AA5"/>
    <w:rsid w:val="001712AB"/>
    <w:rsid w:val="00171EA7"/>
    <w:rsid w:val="00176031"/>
    <w:rsid w:val="00180FDE"/>
    <w:rsid w:val="00182C13"/>
    <w:rsid w:val="0018358C"/>
    <w:rsid w:val="00186F10"/>
    <w:rsid w:val="001972B3"/>
    <w:rsid w:val="001A17C0"/>
    <w:rsid w:val="001A1D6B"/>
    <w:rsid w:val="001A5794"/>
    <w:rsid w:val="001B250C"/>
    <w:rsid w:val="001B382D"/>
    <w:rsid w:val="001B67E0"/>
    <w:rsid w:val="001C19A9"/>
    <w:rsid w:val="001C2140"/>
    <w:rsid w:val="001C224E"/>
    <w:rsid w:val="001C2BED"/>
    <w:rsid w:val="001C2F92"/>
    <w:rsid w:val="001C4922"/>
    <w:rsid w:val="001C6CFB"/>
    <w:rsid w:val="001D7A96"/>
    <w:rsid w:val="001D7E19"/>
    <w:rsid w:val="001E535B"/>
    <w:rsid w:val="001E6459"/>
    <w:rsid w:val="001F18DF"/>
    <w:rsid w:val="001F1A44"/>
    <w:rsid w:val="00200FA8"/>
    <w:rsid w:val="0020202F"/>
    <w:rsid w:val="00205768"/>
    <w:rsid w:val="002107A4"/>
    <w:rsid w:val="002107F6"/>
    <w:rsid w:val="00211745"/>
    <w:rsid w:val="00214684"/>
    <w:rsid w:val="002162BF"/>
    <w:rsid w:val="00223821"/>
    <w:rsid w:val="00224E73"/>
    <w:rsid w:val="00231C16"/>
    <w:rsid w:val="0023669E"/>
    <w:rsid w:val="00242008"/>
    <w:rsid w:val="00245699"/>
    <w:rsid w:val="00247CDE"/>
    <w:rsid w:val="00261C4D"/>
    <w:rsid w:val="0026304B"/>
    <w:rsid w:val="00274C07"/>
    <w:rsid w:val="0027721A"/>
    <w:rsid w:val="00281110"/>
    <w:rsid w:val="00282692"/>
    <w:rsid w:val="00282C78"/>
    <w:rsid w:val="00287436"/>
    <w:rsid w:val="0029188B"/>
    <w:rsid w:val="00292807"/>
    <w:rsid w:val="00296F92"/>
    <w:rsid w:val="002972D2"/>
    <w:rsid w:val="002A1056"/>
    <w:rsid w:val="002A365D"/>
    <w:rsid w:val="002A3A26"/>
    <w:rsid w:val="002A45B3"/>
    <w:rsid w:val="002A62DB"/>
    <w:rsid w:val="002A6AAA"/>
    <w:rsid w:val="002B05CF"/>
    <w:rsid w:val="002B2C08"/>
    <w:rsid w:val="002B3258"/>
    <w:rsid w:val="002C5D2F"/>
    <w:rsid w:val="002D330B"/>
    <w:rsid w:val="002D6781"/>
    <w:rsid w:val="002D6BBE"/>
    <w:rsid w:val="002E1CE2"/>
    <w:rsid w:val="002E4860"/>
    <w:rsid w:val="002E58DC"/>
    <w:rsid w:val="003051FC"/>
    <w:rsid w:val="00305C06"/>
    <w:rsid w:val="00314C3D"/>
    <w:rsid w:val="00321670"/>
    <w:rsid w:val="00324643"/>
    <w:rsid w:val="003270DA"/>
    <w:rsid w:val="003279F4"/>
    <w:rsid w:val="00332C66"/>
    <w:rsid w:val="0033382B"/>
    <w:rsid w:val="00347356"/>
    <w:rsid w:val="00347785"/>
    <w:rsid w:val="00347ED4"/>
    <w:rsid w:val="003518CE"/>
    <w:rsid w:val="00354D56"/>
    <w:rsid w:val="003572CE"/>
    <w:rsid w:val="003577F2"/>
    <w:rsid w:val="00361807"/>
    <w:rsid w:val="003650C0"/>
    <w:rsid w:val="00366580"/>
    <w:rsid w:val="0037135C"/>
    <w:rsid w:val="00384278"/>
    <w:rsid w:val="003850D9"/>
    <w:rsid w:val="0038623A"/>
    <w:rsid w:val="00394094"/>
    <w:rsid w:val="003943F5"/>
    <w:rsid w:val="00395382"/>
    <w:rsid w:val="003A1CA4"/>
    <w:rsid w:val="003A5E9B"/>
    <w:rsid w:val="003A5FAB"/>
    <w:rsid w:val="003A723E"/>
    <w:rsid w:val="003B7581"/>
    <w:rsid w:val="003C544C"/>
    <w:rsid w:val="003D015A"/>
    <w:rsid w:val="003D0810"/>
    <w:rsid w:val="003D6DF2"/>
    <w:rsid w:val="003E1118"/>
    <w:rsid w:val="003F1C54"/>
    <w:rsid w:val="003F3716"/>
    <w:rsid w:val="003F7AC6"/>
    <w:rsid w:val="00400B6A"/>
    <w:rsid w:val="00405B4E"/>
    <w:rsid w:val="00407232"/>
    <w:rsid w:val="00411AB5"/>
    <w:rsid w:val="00412ACE"/>
    <w:rsid w:val="0041572E"/>
    <w:rsid w:val="00416F27"/>
    <w:rsid w:val="004265FE"/>
    <w:rsid w:val="00426C0A"/>
    <w:rsid w:val="00431BD2"/>
    <w:rsid w:val="00436181"/>
    <w:rsid w:val="00443614"/>
    <w:rsid w:val="00446FF9"/>
    <w:rsid w:val="004516F1"/>
    <w:rsid w:val="004520C4"/>
    <w:rsid w:val="00454B8D"/>
    <w:rsid w:val="004631C9"/>
    <w:rsid w:val="00465605"/>
    <w:rsid w:val="0047028B"/>
    <w:rsid w:val="00477C0E"/>
    <w:rsid w:val="00482ED1"/>
    <w:rsid w:val="00483561"/>
    <w:rsid w:val="00486567"/>
    <w:rsid w:val="004953C5"/>
    <w:rsid w:val="004A147B"/>
    <w:rsid w:val="004A5921"/>
    <w:rsid w:val="004A5D88"/>
    <w:rsid w:val="004B4629"/>
    <w:rsid w:val="004B5C5C"/>
    <w:rsid w:val="004C0132"/>
    <w:rsid w:val="004C25A8"/>
    <w:rsid w:val="004C4455"/>
    <w:rsid w:val="004D164F"/>
    <w:rsid w:val="004E45B1"/>
    <w:rsid w:val="004F0A86"/>
    <w:rsid w:val="004F0FEB"/>
    <w:rsid w:val="004F2C9F"/>
    <w:rsid w:val="004F488C"/>
    <w:rsid w:val="004F7EDE"/>
    <w:rsid w:val="00501BE3"/>
    <w:rsid w:val="00501D16"/>
    <w:rsid w:val="005057DA"/>
    <w:rsid w:val="0051084C"/>
    <w:rsid w:val="00515549"/>
    <w:rsid w:val="00516C81"/>
    <w:rsid w:val="00521209"/>
    <w:rsid w:val="005261B7"/>
    <w:rsid w:val="00537ABD"/>
    <w:rsid w:val="00542CF1"/>
    <w:rsid w:val="005577DD"/>
    <w:rsid w:val="005602FF"/>
    <w:rsid w:val="00560785"/>
    <w:rsid w:val="0056242C"/>
    <w:rsid w:val="00566089"/>
    <w:rsid w:val="00566DB8"/>
    <w:rsid w:val="00580F3B"/>
    <w:rsid w:val="0058543E"/>
    <w:rsid w:val="0059213D"/>
    <w:rsid w:val="00593471"/>
    <w:rsid w:val="0059642A"/>
    <w:rsid w:val="00597158"/>
    <w:rsid w:val="005A0788"/>
    <w:rsid w:val="005B2F57"/>
    <w:rsid w:val="005B6557"/>
    <w:rsid w:val="005B7E89"/>
    <w:rsid w:val="005C2950"/>
    <w:rsid w:val="005C33D5"/>
    <w:rsid w:val="005C34B5"/>
    <w:rsid w:val="005C47A7"/>
    <w:rsid w:val="005D1B58"/>
    <w:rsid w:val="005D5891"/>
    <w:rsid w:val="005E04A8"/>
    <w:rsid w:val="00606D7A"/>
    <w:rsid w:val="006136E9"/>
    <w:rsid w:val="00620109"/>
    <w:rsid w:val="00621643"/>
    <w:rsid w:val="00621D26"/>
    <w:rsid w:val="00622830"/>
    <w:rsid w:val="006239FD"/>
    <w:rsid w:val="006316A0"/>
    <w:rsid w:val="00644A83"/>
    <w:rsid w:val="00646879"/>
    <w:rsid w:val="00647D4B"/>
    <w:rsid w:val="00657643"/>
    <w:rsid w:val="00660A67"/>
    <w:rsid w:val="00661B5B"/>
    <w:rsid w:val="0066395C"/>
    <w:rsid w:val="006643DF"/>
    <w:rsid w:val="006672CB"/>
    <w:rsid w:val="00671209"/>
    <w:rsid w:val="006764E6"/>
    <w:rsid w:val="006773F0"/>
    <w:rsid w:val="00683B18"/>
    <w:rsid w:val="006901ED"/>
    <w:rsid w:val="00693934"/>
    <w:rsid w:val="0069726D"/>
    <w:rsid w:val="00697C51"/>
    <w:rsid w:val="006A00EA"/>
    <w:rsid w:val="006A0A22"/>
    <w:rsid w:val="006A45F9"/>
    <w:rsid w:val="006A55A5"/>
    <w:rsid w:val="006B492B"/>
    <w:rsid w:val="006B7C88"/>
    <w:rsid w:val="006C2873"/>
    <w:rsid w:val="006C3835"/>
    <w:rsid w:val="006C4667"/>
    <w:rsid w:val="006C7E28"/>
    <w:rsid w:val="006D4B09"/>
    <w:rsid w:val="006E02BF"/>
    <w:rsid w:val="006E2608"/>
    <w:rsid w:val="006F1C25"/>
    <w:rsid w:val="006F37E3"/>
    <w:rsid w:val="007021E4"/>
    <w:rsid w:val="00702C3A"/>
    <w:rsid w:val="00704D2E"/>
    <w:rsid w:val="00706CF1"/>
    <w:rsid w:val="007077FD"/>
    <w:rsid w:val="00707DA7"/>
    <w:rsid w:val="007111D8"/>
    <w:rsid w:val="00713CCA"/>
    <w:rsid w:val="00713E75"/>
    <w:rsid w:val="00716651"/>
    <w:rsid w:val="007177A4"/>
    <w:rsid w:val="007200A5"/>
    <w:rsid w:val="00724EA6"/>
    <w:rsid w:val="00725F9A"/>
    <w:rsid w:val="0072622D"/>
    <w:rsid w:val="00731B6A"/>
    <w:rsid w:val="00744E91"/>
    <w:rsid w:val="00754B0A"/>
    <w:rsid w:val="00754B8D"/>
    <w:rsid w:val="00760627"/>
    <w:rsid w:val="00762C50"/>
    <w:rsid w:val="00762D8F"/>
    <w:rsid w:val="00764259"/>
    <w:rsid w:val="00771491"/>
    <w:rsid w:val="00771A47"/>
    <w:rsid w:val="00772064"/>
    <w:rsid w:val="00772F94"/>
    <w:rsid w:val="00772FD4"/>
    <w:rsid w:val="007802CC"/>
    <w:rsid w:val="007860DF"/>
    <w:rsid w:val="00787201"/>
    <w:rsid w:val="0079388A"/>
    <w:rsid w:val="00797975"/>
    <w:rsid w:val="007B303C"/>
    <w:rsid w:val="007B7385"/>
    <w:rsid w:val="007C73F7"/>
    <w:rsid w:val="007C7B96"/>
    <w:rsid w:val="007D7423"/>
    <w:rsid w:val="007E41C7"/>
    <w:rsid w:val="007F028A"/>
    <w:rsid w:val="007F2128"/>
    <w:rsid w:val="007F493C"/>
    <w:rsid w:val="008202D7"/>
    <w:rsid w:val="00821678"/>
    <w:rsid w:val="00821693"/>
    <w:rsid w:val="0082478A"/>
    <w:rsid w:val="0082494C"/>
    <w:rsid w:val="0082656A"/>
    <w:rsid w:val="00830F94"/>
    <w:rsid w:val="008312E8"/>
    <w:rsid w:val="00832F7C"/>
    <w:rsid w:val="008344B2"/>
    <w:rsid w:val="00843C74"/>
    <w:rsid w:val="00853340"/>
    <w:rsid w:val="00860C53"/>
    <w:rsid w:val="008642A2"/>
    <w:rsid w:val="008731A8"/>
    <w:rsid w:val="00876360"/>
    <w:rsid w:val="0089185D"/>
    <w:rsid w:val="008A39AF"/>
    <w:rsid w:val="008A40F3"/>
    <w:rsid w:val="008A4C4B"/>
    <w:rsid w:val="008A630E"/>
    <w:rsid w:val="008A76BB"/>
    <w:rsid w:val="008B2C04"/>
    <w:rsid w:val="008B691A"/>
    <w:rsid w:val="008C07A2"/>
    <w:rsid w:val="008C175F"/>
    <w:rsid w:val="008C20B7"/>
    <w:rsid w:val="008C35C9"/>
    <w:rsid w:val="008C680F"/>
    <w:rsid w:val="008D7439"/>
    <w:rsid w:val="008E333D"/>
    <w:rsid w:val="008E3854"/>
    <w:rsid w:val="008E4C95"/>
    <w:rsid w:val="008F0316"/>
    <w:rsid w:val="008F2821"/>
    <w:rsid w:val="00902792"/>
    <w:rsid w:val="00905F8B"/>
    <w:rsid w:val="00907AD8"/>
    <w:rsid w:val="00910895"/>
    <w:rsid w:val="00911384"/>
    <w:rsid w:val="009137B8"/>
    <w:rsid w:val="009212FB"/>
    <w:rsid w:val="00924449"/>
    <w:rsid w:val="0093057A"/>
    <w:rsid w:val="00930920"/>
    <w:rsid w:val="009309C1"/>
    <w:rsid w:val="00932091"/>
    <w:rsid w:val="00940523"/>
    <w:rsid w:val="00944384"/>
    <w:rsid w:val="009479CC"/>
    <w:rsid w:val="0095032B"/>
    <w:rsid w:val="00951804"/>
    <w:rsid w:val="00955B9E"/>
    <w:rsid w:val="0096046E"/>
    <w:rsid w:val="00965901"/>
    <w:rsid w:val="00965D5E"/>
    <w:rsid w:val="00966713"/>
    <w:rsid w:val="00975D49"/>
    <w:rsid w:val="00976121"/>
    <w:rsid w:val="009851AA"/>
    <w:rsid w:val="009853B0"/>
    <w:rsid w:val="009857B0"/>
    <w:rsid w:val="00991574"/>
    <w:rsid w:val="00991B80"/>
    <w:rsid w:val="009A0279"/>
    <w:rsid w:val="009A320B"/>
    <w:rsid w:val="009A3914"/>
    <w:rsid w:val="009B1A52"/>
    <w:rsid w:val="009C21B2"/>
    <w:rsid w:val="009C5AA1"/>
    <w:rsid w:val="009D2EC6"/>
    <w:rsid w:val="009D3419"/>
    <w:rsid w:val="009D3BD0"/>
    <w:rsid w:val="009D6142"/>
    <w:rsid w:val="009E4E6C"/>
    <w:rsid w:val="009E7C7E"/>
    <w:rsid w:val="009F034B"/>
    <w:rsid w:val="009F12D0"/>
    <w:rsid w:val="009F60F8"/>
    <w:rsid w:val="009F750A"/>
    <w:rsid w:val="00A01552"/>
    <w:rsid w:val="00A01DCF"/>
    <w:rsid w:val="00A0742C"/>
    <w:rsid w:val="00A1187D"/>
    <w:rsid w:val="00A177ED"/>
    <w:rsid w:val="00A2092A"/>
    <w:rsid w:val="00A21C10"/>
    <w:rsid w:val="00A21D06"/>
    <w:rsid w:val="00A256D7"/>
    <w:rsid w:val="00A27C98"/>
    <w:rsid w:val="00A44F5B"/>
    <w:rsid w:val="00A46228"/>
    <w:rsid w:val="00A46CE0"/>
    <w:rsid w:val="00A5424F"/>
    <w:rsid w:val="00A64289"/>
    <w:rsid w:val="00A67452"/>
    <w:rsid w:val="00A72769"/>
    <w:rsid w:val="00A735D2"/>
    <w:rsid w:val="00A80A6F"/>
    <w:rsid w:val="00A835F5"/>
    <w:rsid w:val="00A910A8"/>
    <w:rsid w:val="00A93398"/>
    <w:rsid w:val="00AA12A1"/>
    <w:rsid w:val="00AA47C2"/>
    <w:rsid w:val="00AA4BFD"/>
    <w:rsid w:val="00AC436B"/>
    <w:rsid w:val="00AC4C1B"/>
    <w:rsid w:val="00AC7DD7"/>
    <w:rsid w:val="00AD693A"/>
    <w:rsid w:val="00AD7BFB"/>
    <w:rsid w:val="00AE14E8"/>
    <w:rsid w:val="00AE3247"/>
    <w:rsid w:val="00AE34EC"/>
    <w:rsid w:val="00AE49E7"/>
    <w:rsid w:val="00AE6390"/>
    <w:rsid w:val="00AF3F3E"/>
    <w:rsid w:val="00B01E1B"/>
    <w:rsid w:val="00B03A42"/>
    <w:rsid w:val="00B10934"/>
    <w:rsid w:val="00B10F4D"/>
    <w:rsid w:val="00B13131"/>
    <w:rsid w:val="00B23E7E"/>
    <w:rsid w:val="00B328B7"/>
    <w:rsid w:val="00B35351"/>
    <w:rsid w:val="00B36921"/>
    <w:rsid w:val="00B37F67"/>
    <w:rsid w:val="00B41544"/>
    <w:rsid w:val="00B43596"/>
    <w:rsid w:val="00B455F7"/>
    <w:rsid w:val="00B55485"/>
    <w:rsid w:val="00B640D2"/>
    <w:rsid w:val="00B727A9"/>
    <w:rsid w:val="00B76980"/>
    <w:rsid w:val="00B77893"/>
    <w:rsid w:val="00B80380"/>
    <w:rsid w:val="00B81502"/>
    <w:rsid w:val="00B90451"/>
    <w:rsid w:val="00B94A5E"/>
    <w:rsid w:val="00B95339"/>
    <w:rsid w:val="00B95AD5"/>
    <w:rsid w:val="00BA4292"/>
    <w:rsid w:val="00BA60B2"/>
    <w:rsid w:val="00BC05A3"/>
    <w:rsid w:val="00BC1251"/>
    <w:rsid w:val="00BC13F7"/>
    <w:rsid w:val="00BD0B4D"/>
    <w:rsid w:val="00BD31AB"/>
    <w:rsid w:val="00BD3A58"/>
    <w:rsid w:val="00BE311D"/>
    <w:rsid w:val="00BF0FE3"/>
    <w:rsid w:val="00BF20E1"/>
    <w:rsid w:val="00BF53B8"/>
    <w:rsid w:val="00C01531"/>
    <w:rsid w:val="00C015D0"/>
    <w:rsid w:val="00C05D72"/>
    <w:rsid w:val="00C074E2"/>
    <w:rsid w:val="00C21582"/>
    <w:rsid w:val="00C21A0B"/>
    <w:rsid w:val="00C31A39"/>
    <w:rsid w:val="00C32094"/>
    <w:rsid w:val="00C33B27"/>
    <w:rsid w:val="00C3625B"/>
    <w:rsid w:val="00C36624"/>
    <w:rsid w:val="00C36D72"/>
    <w:rsid w:val="00C377E1"/>
    <w:rsid w:val="00C50B00"/>
    <w:rsid w:val="00C53C18"/>
    <w:rsid w:val="00C6190C"/>
    <w:rsid w:val="00C633CD"/>
    <w:rsid w:val="00C65849"/>
    <w:rsid w:val="00C67289"/>
    <w:rsid w:val="00C7159B"/>
    <w:rsid w:val="00C743FD"/>
    <w:rsid w:val="00C75E44"/>
    <w:rsid w:val="00C82E56"/>
    <w:rsid w:val="00C86D2D"/>
    <w:rsid w:val="00C94140"/>
    <w:rsid w:val="00C963A8"/>
    <w:rsid w:val="00CA02FC"/>
    <w:rsid w:val="00CA09B8"/>
    <w:rsid w:val="00CA50C8"/>
    <w:rsid w:val="00CA5DDC"/>
    <w:rsid w:val="00CB081A"/>
    <w:rsid w:val="00CB2363"/>
    <w:rsid w:val="00CB27BB"/>
    <w:rsid w:val="00CB319A"/>
    <w:rsid w:val="00CB7C85"/>
    <w:rsid w:val="00CC5F57"/>
    <w:rsid w:val="00CC69F5"/>
    <w:rsid w:val="00CD3998"/>
    <w:rsid w:val="00CD4B0A"/>
    <w:rsid w:val="00CE0C88"/>
    <w:rsid w:val="00CE2D82"/>
    <w:rsid w:val="00CF1614"/>
    <w:rsid w:val="00D01FEB"/>
    <w:rsid w:val="00D03478"/>
    <w:rsid w:val="00D04F91"/>
    <w:rsid w:val="00D05D7A"/>
    <w:rsid w:val="00D11578"/>
    <w:rsid w:val="00D211F0"/>
    <w:rsid w:val="00D23DCC"/>
    <w:rsid w:val="00D2482A"/>
    <w:rsid w:val="00D322CE"/>
    <w:rsid w:val="00D34F2C"/>
    <w:rsid w:val="00D405F5"/>
    <w:rsid w:val="00D50745"/>
    <w:rsid w:val="00D5222E"/>
    <w:rsid w:val="00D52AEE"/>
    <w:rsid w:val="00D5678C"/>
    <w:rsid w:val="00D61FEB"/>
    <w:rsid w:val="00D657E2"/>
    <w:rsid w:val="00D74F87"/>
    <w:rsid w:val="00D76882"/>
    <w:rsid w:val="00D76C82"/>
    <w:rsid w:val="00D81435"/>
    <w:rsid w:val="00D82F2D"/>
    <w:rsid w:val="00D8442B"/>
    <w:rsid w:val="00D8623E"/>
    <w:rsid w:val="00D959C4"/>
    <w:rsid w:val="00D97DF1"/>
    <w:rsid w:val="00DA1B88"/>
    <w:rsid w:val="00DB53B3"/>
    <w:rsid w:val="00DB5506"/>
    <w:rsid w:val="00DC2CE8"/>
    <w:rsid w:val="00DC5FFC"/>
    <w:rsid w:val="00DD3F70"/>
    <w:rsid w:val="00DD7A4F"/>
    <w:rsid w:val="00DD7F1F"/>
    <w:rsid w:val="00DE31C2"/>
    <w:rsid w:val="00DE5329"/>
    <w:rsid w:val="00DF0D5D"/>
    <w:rsid w:val="00DF1AA0"/>
    <w:rsid w:val="00DF24D2"/>
    <w:rsid w:val="00DF47A9"/>
    <w:rsid w:val="00DF6B1D"/>
    <w:rsid w:val="00E00177"/>
    <w:rsid w:val="00E0318B"/>
    <w:rsid w:val="00E044C6"/>
    <w:rsid w:val="00E04E45"/>
    <w:rsid w:val="00E06B5B"/>
    <w:rsid w:val="00E1003B"/>
    <w:rsid w:val="00E10E43"/>
    <w:rsid w:val="00E119EF"/>
    <w:rsid w:val="00E1236F"/>
    <w:rsid w:val="00E124DB"/>
    <w:rsid w:val="00E15D17"/>
    <w:rsid w:val="00E1782E"/>
    <w:rsid w:val="00E20055"/>
    <w:rsid w:val="00E3029C"/>
    <w:rsid w:val="00E321B6"/>
    <w:rsid w:val="00E3310D"/>
    <w:rsid w:val="00E36110"/>
    <w:rsid w:val="00E36FB6"/>
    <w:rsid w:val="00E45D89"/>
    <w:rsid w:val="00E50EFA"/>
    <w:rsid w:val="00E5223D"/>
    <w:rsid w:val="00E60CE8"/>
    <w:rsid w:val="00E62F06"/>
    <w:rsid w:val="00E66247"/>
    <w:rsid w:val="00E83EA7"/>
    <w:rsid w:val="00E8779E"/>
    <w:rsid w:val="00E9224C"/>
    <w:rsid w:val="00E9267D"/>
    <w:rsid w:val="00EA08E0"/>
    <w:rsid w:val="00EA32D4"/>
    <w:rsid w:val="00EA3F40"/>
    <w:rsid w:val="00EA47A5"/>
    <w:rsid w:val="00EB15BB"/>
    <w:rsid w:val="00EB329A"/>
    <w:rsid w:val="00EC0AA6"/>
    <w:rsid w:val="00EC2E77"/>
    <w:rsid w:val="00EC3C34"/>
    <w:rsid w:val="00EC4A9A"/>
    <w:rsid w:val="00EC58C4"/>
    <w:rsid w:val="00EE0CBA"/>
    <w:rsid w:val="00EE3654"/>
    <w:rsid w:val="00EF3A79"/>
    <w:rsid w:val="00EF4ABF"/>
    <w:rsid w:val="00EF51EE"/>
    <w:rsid w:val="00F00F11"/>
    <w:rsid w:val="00F03872"/>
    <w:rsid w:val="00F07313"/>
    <w:rsid w:val="00F1058D"/>
    <w:rsid w:val="00F1370E"/>
    <w:rsid w:val="00F15708"/>
    <w:rsid w:val="00F158F7"/>
    <w:rsid w:val="00F177D2"/>
    <w:rsid w:val="00F17B4A"/>
    <w:rsid w:val="00F17BEE"/>
    <w:rsid w:val="00F26997"/>
    <w:rsid w:val="00F278F3"/>
    <w:rsid w:val="00F31FC1"/>
    <w:rsid w:val="00F40874"/>
    <w:rsid w:val="00F44643"/>
    <w:rsid w:val="00F44CC4"/>
    <w:rsid w:val="00F50308"/>
    <w:rsid w:val="00F50F9D"/>
    <w:rsid w:val="00F53FE4"/>
    <w:rsid w:val="00F54917"/>
    <w:rsid w:val="00F55456"/>
    <w:rsid w:val="00F625FB"/>
    <w:rsid w:val="00F665D1"/>
    <w:rsid w:val="00F764FD"/>
    <w:rsid w:val="00F7689B"/>
    <w:rsid w:val="00F77EE6"/>
    <w:rsid w:val="00F86106"/>
    <w:rsid w:val="00F871DC"/>
    <w:rsid w:val="00F972AB"/>
    <w:rsid w:val="00F97D94"/>
    <w:rsid w:val="00F97FF3"/>
    <w:rsid w:val="00FA07B0"/>
    <w:rsid w:val="00FB5F74"/>
    <w:rsid w:val="00FB77BE"/>
    <w:rsid w:val="00FC18BD"/>
    <w:rsid w:val="00FC249B"/>
    <w:rsid w:val="00FC539F"/>
    <w:rsid w:val="00FC68F2"/>
    <w:rsid w:val="00FE1E73"/>
    <w:rsid w:val="00FE1F15"/>
    <w:rsid w:val="00FE3611"/>
    <w:rsid w:val="00FE54AD"/>
    <w:rsid w:val="00FE6028"/>
    <w:rsid w:val="00FF0DA2"/>
    <w:rsid w:val="00FF6DA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C4"/>
  </w:style>
  <w:style w:type="paragraph" w:styleId="Heading5">
    <w:name w:val="heading 5"/>
    <w:basedOn w:val="Normal"/>
    <w:link w:val="Heading5Char"/>
    <w:uiPriority w:val="9"/>
    <w:qFormat/>
    <w:rsid w:val="0058543E"/>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BFB"/>
    <w:pPr>
      <w:ind w:left="720"/>
      <w:contextualSpacing/>
    </w:pPr>
  </w:style>
  <w:style w:type="paragraph" w:styleId="FootnoteText">
    <w:name w:val="footnote text"/>
    <w:basedOn w:val="Normal"/>
    <w:link w:val="FootnoteTextChar"/>
    <w:uiPriority w:val="99"/>
    <w:unhideWhenUsed/>
    <w:rsid w:val="00660A67"/>
    <w:pPr>
      <w:spacing w:after="0" w:line="240" w:lineRule="auto"/>
    </w:pPr>
    <w:rPr>
      <w:sz w:val="20"/>
      <w:szCs w:val="20"/>
    </w:rPr>
  </w:style>
  <w:style w:type="character" w:customStyle="1" w:styleId="FootnoteTextChar">
    <w:name w:val="Footnote Text Char"/>
    <w:basedOn w:val="DefaultParagraphFont"/>
    <w:link w:val="FootnoteText"/>
    <w:uiPriority w:val="99"/>
    <w:rsid w:val="00660A67"/>
    <w:rPr>
      <w:sz w:val="20"/>
      <w:szCs w:val="20"/>
    </w:rPr>
  </w:style>
  <w:style w:type="character" w:styleId="FootnoteReference">
    <w:name w:val="footnote reference"/>
    <w:basedOn w:val="DefaultParagraphFont"/>
    <w:uiPriority w:val="99"/>
    <w:semiHidden/>
    <w:unhideWhenUsed/>
    <w:rsid w:val="00660A67"/>
    <w:rPr>
      <w:vertAlign w:val="superscript"/>
    </w:rPr>
  </w:style>
  <w:style w:type="character" w:styleId="Hyperlink">
    <w:name w:val="Hyperlink"/>
    <w:basedOn w:val="DefaultParagraphFont"/>
    <w:uiPriority w:val="99"/>
    <w:unhideWhenUsed/>
    <w:rsid w:val="00EA3F40"/>
    <w:rPr>
      <w:color w:val="0000FF" w:themeColor="hyperlink"/>
      <w:u w:val="single"/>
    </w:rPr>
  </w:style>
  <w:style w:type="paragraph" w:customStyle="1" w:styleId="Default">
    <w:name w:val="Default"/>
    <w:rsid w:val="00F665D1"/>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58543E"/>
    <w:rPr>
      <w:rFonts w:ascii="Times New Roman" w:eastAsia="Times New Roman" w:hAnsi="Times New Roman" w:cs="Times New Roman"/>
      <w:b/>
      <w:bCs/>
      <w:sz w:val="20"/>
      <w:szCs w:val="20"/>
      <w:lang w:eastAsia="el-GR"/>
    </w:rPr>
  </w:style>
  <w:style w:type="character" w:customStyle="1" w:styleId="fwb">
    <w:name w:val="fwb"/>
    <w:basedOn w:val="DefaultParagraphFont"/>
    <w:rsid w:val="0058543E"/>
  </w:style>
  <w:style w:type="paragraph" w:styleId="Header">
    <w:name w:val="header"/>
    <w:basedOn w:val="Normal"/>
    <w:link w:val="HeaderChar"/>
    <w:uiPriority w:val="99"/>
    <w:unhideWhenUsed/>
    <w:rsid w:val="002826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2692"/>
  </w:style>
  <w:style w:type="paragraph" w:styleId="Footer">
    <w:name w:val="footer"/>
    <w:basedOn w:val="Normal"/>
    <w:link w:val="FooterChar"/>
    <w:uiPriority w:val="99"/>
    <w:unhideWhenUsed/>
    <w:rsid w:val="002826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2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Char"/>
    <w:uiPriority w:val="9"/>
    <w:qFormat/>
    <w:rsid w:val="0058543E"/>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BFB"/>
    <w:pPr>
      <w:ind w:left="720"/>
      <w:contextualSpacing/>
    </w:pPr>
  </w:style>
  <w:style w:type="paragraph" w:styleId="a4">
    <w:name w:val="footnote text"/>
    <w:basedOn w:val="a"/>
    <w:link w:val="Char"/>
    <w:uiPriority w:val="99"/>
    <w:unhideWhenUsed/>
    <w:rsid w:val="00660A67"/>
    <w:pPr>
      <w:spacing w:after="0" w:line="240" w:lineRule="auto"/>
    </w:pPr>
    <w:rPr>
      <w:sz w:val="20"/>
      <w:szCs w:val="20"/>
    </w:rPr>
  </w:style>
  <w:style w:type="character" w:customStyle="1" w:styleId="Char">
    <w:name w:val="Κείμενο υποσημείωσης Char"/>
    <w:basedOn w:val="a0"/>
    <w:link w:val="a4"/>
    <w:uiPriority w:val="99"/>
    <w:rsid w:val="00660A67"/>
    <w:rPr>
      <w:sz w:val="20"/>
      <w:szCs w:val="20"/>
    </w:rPr>
  </w:style>
  <w:style w:type="character" w:styleId="a5">
    <w:name w:val="footnote reference"/>
    <w:basedOn w:val="a0"/>
    <w:uiPriority w:val="99"/>
    <w:semiHidden/>
    <w:unhideWhenUsed/>
    <w:rsid w:val="00660A67"/>
    <w:rPr>
      <w:vertAlign w:val="superscript"/>
    </w:rPr>
  </w:style>
  <w:style w:type="character" w:styleId="-">
    <w:name w:val="Hyperlink"/>
    <w:basedOn w:val="a0"/>
    <w:uiPriority w:val="99"/>
    <w:unhideWhenUsed/>
    <w:rsid w:val="00EA3F40"/>
    <w:rPr>
      <w:color w:val="0000FF" w:themeColor="hyperlink"/>
      <w:u w:val="single"/>
    </w:rPr>
  </w:style>
  <w:style w:type="paragraph" w:customStyle="1" w:styleId="Default">
    <w:name w:val="Default"/>
    <w:rsid w:val="00F665D1"/>
    <w:pPr>
      <w:autoSpaceDE w:val="0"/>
      <w:autoSpaceDN w:val="0"/>
      <w:adjustRightInd w:val="0"/>
      <w:spacing w:after="0" w:line="240" w:lineRule="auto"/>
    </w:pPr>
    <w:rPr>
      <w:rFonts w:ascii="Calibri" w:hAnsi="Calibri" w:cs="Calibri"/>
      <w:color w:val="000000"/>
      <w:sz w:val="24"/>
      <w:szCs w:val="24"/>
    </w:rPr>
  </w:style>
  <w:style w:type="character" w:customStyle="1" w:styleId="5Char">
    <w:name w:val="Επικεφαλίδα 5 Char"/>
    <w:basedOn w:val="a0"/>
    <w:link w:val="5"/>
    <w:uiPriority w:val="9"/>
    <w:rsid w:val="0058543E"/>
    <w:rPr>
      <w:rFonts w:ascii="Times New Roman" w:eastAsia="Times New Roman" w:hAnsi="Times New Roman" w:cs="Times New Roman"/>
      <w:b/>
      <w:bCs/>
      <w:sz w:val="20"/>
      <w:szCs w:val="20"/>
      <w:lang w:eastAsia="el-GR"/>
    </w:rPr>
  </w:style>
  <w:style w:type="character" w:customStyle="1" w:styleId="fwb">
    <w:name w:val="fwb"/>
    <w:basedOn w:val="a0"/>
    <w:rsid w:val="0058543E"/>
  </w:style>
  <w:style w:type="paragraph" w:styleId="a6">
    <w:name w:val="header"/>
    <w:basedOn w:val="a"/>
    <w:link w:val="Char0"/>
    <w:uiPriority w:val="99"/>
    <w:unhideWhenUsed/>
    <w:rsid w:val="00282692"/>
    <w:pPr>
      <w:tabs>
        <w:tab w:val="center" w:pos="4153"/>
        <w:tab w:val="right" w:pos="8306"/>
      </w:tabs>
      <w:spacing w:after="0" w:line="240" w:lineRule="auto"/>
    </w:pPr>
  </w:style>
  <w:style w:type="character" w:customStyle="1" w:styleId="Char0">
    <w:name w:val="Κεφαλίδα Char"/>
    <w:basedOn w:val="a0"/>
    <w:link w:val="a6"/>
    <w:uiPriority w:val="99"/>
    <w:rsid w:val="00282692"/>
  </w:style>
  <w:style w:type="paragraph" w:styleId="a7">
    <w:name w:val="footer"/>
    <w:basedOn w:val="a"/>
    <w:link w:val="Char1"/>
    <w:uiPriority w:val="99"/>
    <w:unhideWhenUsed/>
    <w:rsid w:val="00282692"/>
    <w:pPr>
      <w:tabs>
        <w:tab w:val="center" w:pos="4153"/>
        <w:tab w:val="right" w:pos="8306"/>
      </w:tabs>
      <w:spacing w:after="0" w:line="240" w:lineRule="auto"/>
    </w:pPr>
  </w:style>
  <w:style w:type="character" w:customStyle="1" w:styleId="Char1">
    <w:name w:val="Υποσέλιδο Char"/>
    <w:basedOn w:val="a0"/>
    <w:link w:val="a7"/>
    <w:uiPriority w:val="99"/>
    <w:rsid w:val="00282692"/>
  </w:style>
</w:styles>
</file>

<file path=word/webSettings.xml><?xml version="1.0" encoding="utf-8"?>
<w:webSettings xmlns:r="http://schemas.openxmlformats.org/officeDocument/2006/relationships" xmlns:w="http://schemas.openxmlformats.org/wordprocessingml/2006/main">
  <w:divs>
    <w:div w:id="15208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A001-E98C-4BC4-9605-1A73A3FF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45</Pages>
  <Words>18405</Words>
  <Characters>104915</Characters>
  <Application>Microsoft Office Word</Application>
  <DocSecurity>0</DocSecurity>
  <Lines>874</Lines>
  <Paragraphs>246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Edoardo Minerva</cp:lastModifiedBy>
  <cp:revision>61</cp:revision>
  <dcterms:created xsi:type="dcterms:W3CDTF">2017-06-26T16:21:00Z</dcterms:created>
  <dcterms:modified xsi:type="dcterms:W3CDTF">2017-10-20T12:30:00Z</dcterms:modified>
</cp:coreProperties>
</file>