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686" w:rsidRDefault="00ED1686" w:rsidP="00ED1686"/>
    <w:tbl>
      <w:tblPr>
        <w:tblpPr w:leftFromText="180" w:rightFromText="180" w:vertAnchor="page" w:horzAnchor="margin" w:tblpXSpec="center" w:tblpY="1426"/>
        <w:tblW w:w="9926" w:type="dxa"/>
        <w:tblLayout w:type="fixed"/>
        <w:tblLook w:val="01E0" w:firstRow="1" w:lastRow="1" w:firstColumn="1" w:lastColumn="1" w:noHBand="0" w:noVBand="0"/>
      </w:tblPr>
      <w:tblGrid>
        <w:gridCol w:w="2835"/>
        <w:gridCol w:w="6793"/>
        <w:gridCol w:w="298"/>
      </w:tblGrid>
      <w:tr w:rsidR="00ED1686" w:rsidRPr="00E13EE4" w:rsidTr="00ED1686">
        <w:trPr>
          <w:trHeight w:val="567"/>
        </w:trPr>
        <w:tc>
          <w:tcPr>
            <w:tcW w:w="2835" w:type="dxa"/>
            <w:tcBorders>
              <w:top w:val="single" w:sz="4" w:space="0" w:color="auto"/>
              <w:left w:val="single" w:sz="4" w:space="0" w:color="auto"/>
              <w:bottom w:val="single" w:sz="4" w:space="0" w:color="auto"/>
              <w:right w:val="single" w:sz="4" w:space="0" w:color="auto"/>
            </w:tcBorders>
            <w:vAlign w:val="center"/>
          </w:tcPr>
          <w:p w:rsidR="00ED1686" w:rsidRPr="00ED1686" w:rsidRDefault="00ED1686" w:rsidP="00ED1686">
            <w:pPr>
              <w:rPr>
                <w:rFonts w:ascii="Arial" w:hAnsi="Arial" w:cs="Arial"/>
                <w:b/>
                <w:lang w:val="en-GB"/>
              </w:rPr>
            </w:pPr>
            <w:r w:rsidRPr="00ED1686">
              <w:rPr>
                <w:rFonts w:ascii="Arial" w:hAnsi="Arial" w:cs="Arial"/>
                <w:b/>
                <w:sz w:val="22"/>
                <w:lang w:val="en-GB"/>
              </w:rPr>
              <w:t>Module title</w:t>
            </w:r>
          </w:p>
        </w:tc>
        <w:tc>
          <w:tcPr>
            <w:tcW w:w="7091" w:type="dxa"/>
            <w:gridSpan w:val="2"/>
            <w:tcBorders>
              <w:top w:val="single" w:sz="4" w:space="0" w:color="auto"/>
              <w:left w:val="single" w:sz="4" w:space="0" w:color="auto"/>
              <w:bottom w:val="single" w:sz="4" w:space="0" w:color="auto"/>
              <w:right w:val="single" w:sz="4" w:space="0" w:color="auto"/>
            </w:tcBorders>
            <w:vAlign w:val="center"/>
          </w:tcPr>
          <w:p w:rsidR="00ED1686" w:rsidRPr="000F0F3A" w:rsidRDefault="000F0F3A" w:rsidP="00ED1686">
            <w:pPr>
              <w:pStyle w:val="1"/>
              <w:jc w:val="both"/>
              <w:rPr>
                <w:rFonts w:cs="Arial"/>
                <w:i/>
                <w:lang w:val="en-US" w:eastAsia="en-US"/>
              </w:rPr>
            </w:pPr>
            <w:r w:rsidRPr="000F0F3A">
              <w:rPr>
                <w:rFonts w:cs="Arial"/>
                <w:i/>
                <w:sz w:val="22"/>
                <w:lang w:val="en-US"/>
              </w:rPr>
              <w:t>Review of the legal parameters of mergers and acquisitions</w:t>
            </w:r>
          </w:p>
        </w:tc>
      </w:tr>
      <w:tr w:rsidR="00ED1686" w:rsidRPr="00E13EE4" w:rsidTr="00ED1686">
        <w:trPr>
          <w:trHeight w:val="567"/>
        </w:trPr>
        <w:tc>
          <w:tcPr>
            <w:tcW w:w="2835" w:type="dxa"/>
            <w:tcBorders>
              <w:top w:val="single" w:sz="4" w:space="0" w:color="auto"/>
              <w:left w:val="single" w:sz="4" w:space="0" w:color="auto"/>
              <w:bottom w:val="single" w:sz="4" w:space="0" w:color="auto"/>
              <w:right w:val="single" w:sz="4" w:space="0" w:color="auto"/>
            </w:tcBorders>
            <w:vAlign w:val="center"/>
          </w:tcPr>
          <w:p w:rsidR="00ED1686" w:rsidRPr="00ED1686" w:rsidRDefault="00ED1686" w:rsidP="006E11EB">
            <w:pPr>
              <w:rPr>
                <w:rFonts w:ascii="Arial" w:hAnsi="Arial" w:cs="Arial"/>
                <w:b/>
                <w:lang w:val="en-GB"/>
              </w:rPr>
            </w:pPr>
            <w:r w:rsidRPr="00ED1686">
              <w:rPr>
                <w:rFonts w:ascii="Arial" w:hAnsi="Arial" w:cs="Arial"/>
                <w:b/>
                <w:sz w:val="22"/>
                <w:lang w:val="en-GB"/>
              </w:rPr>
              <w:t>Dates</w:t>
            </w:r>
          </w:p>
        </w:tc>
        <w:tc>
          <w:tcPr>
            <w:tcW w:w="7091" w:type="dxa"/>
            <w:gridSpan w:val="2"/>
            <w:tcBorders>
              <w:top w:val="single" w:sz="4" w:space="0" w:color="auto"/>
              <w:left w:val="single" w:sz="4" w:space="0" w:color="auto"/>
              <w:bottom w:val="single" w:sz="4" w:space="0" w:color="auto"/>
              <w:right w:val="single" w:sz="4" w:space="0" w:color="auto"/>
            </w:tcBorders>
            <w:vAlign w:val="center"/>
          </w:tcPr>
          <w:p w:rsidR="00ED1686" w:rsidRPr="00A300B8" w:rsidRDefault="000F0F3A" w:rsidP="000F0F3A">
            <w:pPr>
              <w:rPr>
                <w:rFonts w:ascii="Arial" w:hAnsi="Arial" w:cs="Arial"/>
              </w:rPr>
            </w:pPr>
            <w:r>
              <w:rPr>
                <w:rFonts w:ascii="Arial" w:hAnsi="Arial" w:cs="Arial"/>
                <w:sz w:val="22"/>
              </w:rPr>
              <w:t>Thursday</w:t>
            </w:r>
            <w:r w:rsidR="00A300B8" w:rsidRPr="00A300B8">
              <w:rPr>
                <w:rFonts w:ascii="Arial" w:hAnsi="Arial" w:cs="Arial"/>
                <w:sz w:val="22"/>
              </w:rPr>
              <w:t>, 2</w:t>
            </w:r>
            <w:r>
              <w:rPr>
                <w:rFonts w:ascii="Arial" w:hAnsi="Arial" w:cs="Arial"/>
                <w:sz w:val="22"/>
              </w:rPr>
              <w:t>2</w:t>
            </w:r>
            <w:r w:rsidRPr="000F0F3A">
              <w:rPr>
                <w:rFonts w:ascii="Arial" w:hAnsi="Arial" w:cs="Arial"/>
                <w:sz w:val="22"/>
                <w:vertAlign w:val="superscript"/>
              </w:rPr>
              <w:t>nd</w:t>
            </w:r>
            <w:r>
              <w:rPr>
                <w:rFonts w:ascii="Arial" w:hAnsi="Arial" w:cs="Arial"/>
                <w:sz w:val="22"/>
              </w:rPr>
              <w:t xml:space="preserve"> </w:t>
            </w:r>
            <w:r w:rsidR="00A300B8" w:rsidRPr="00A300B8">
              <w:rPr>
                <w:rFonts w:ascii="Arial" w:hAnsi="Arial" w:cs="Arial"/>
                <w:sz w:val="22"/>
              </w:rPr>
              <w:t>June 2017</w:t>
            </w:r>
          </w:p>
        </w:tc>
      </w:tr>
      <w:tr w:rsidR="00ED1686" w:rsidRPr="00521F0E" w:rsidTr="007C19BD">
        <w:trPr>
          <w:trHeight w:val="816"/>
        </w:trPr>
        <w:tc>
          <w:tcPr>
            <w:tcW w:w="2835" w:type="dxa"/>
            <w:tcBorders>
              <w:top w:val="single" w:sz="4" w:space="0" w:color="auto"/>
              <w:left w:val="single" w:sz="4" w:space="0" w:color="auto"/>
              <w:bottom w:val="single" w:sz="4" w:space="0" w:color="auto"/>
              <w:right w:val="single" w:sz="4" w:space="0" w:color="auto"/>
            </w:tcBorders>
            <w:vAlign w:val="center"/>
          </w:tcPr>
          <w:p w:rsidR="00ED1686" w:rsidRPr="00ED1686" w:rsidRDefault="00ED1686" w:rsidP="00ED1686">
            <w:pPr>
              <w:rPr>
                <w:rFonts w:ascii="Arial" w:hAnsi="Arial" w:cs="Arial"/>
                <w:b/>
                <w:lang w:val="en-GB"/>
              </w:rPr>
            </w:pPr>
            <w:r w:rsidRPr="00ED1686">
              <w:rPr>
                <w:rFonts w:ascii="Arial" w:hAnsi="Arial" w:cs="Arial"/>
                <w:b/>
                <w:sz w:val="22"/>
                <w:lang w:val="en-GB"/>
              </w:rPr>
              <w:t>Instructor</w:t>
            </w:r>
          </w:p>
        </w:tc>
        <w:tc>
          <w:tcPr>
            <w:tcW w:w="7091" w:type="dxa"/>
            <w:gridSpan w:val="2"/>
            <w:tcBorders>
              <w:top w:val="single" w:sz="4" w:space="0" w:color="auto"/>
              <w:left w:val="single" w:sz="4" w:space="0" w:color="auto"/>
              <w:bottom w:val="single" w:sz="4" w:space="0" w:color="auto"/>
              <w:right w:val="single" w:sz="4" w:space="0" w:color="auto"/>
            </w:tcBorders>
            <w:vAlign w:val="center"/>
          </w:tcPr>
          <w:p w:rsidR="00ED1686" w:rsidRDefault="00A300B8" w:rsidP="00ED1686">
            <w:pPr>
              <w:rPr>
                <w:rFonts w:ascii="Arial" w:hAnsi="Arial" w:cs="Arial"/>
                <w:sz w:val="22"/>
                <w:lang w:val="en-GB"/>
              </w:rPr>
            </w:pPr>
            <w:r>
              <w:rPr>
                <w:rFonts w:ascii="Arial" w:hAnsi="Arial" w:cs="Arial"/>
                <w:sz w:val="22"/>
                <w:lang w:val="en-GB"/>
              </w:rPr>
              <w:t xml:space="preserve">Dimitris </w:t>
            </w:r>
            <w:proofErr w:type="spellStart"/>
            <w:r>
              <w:rPr>
                <w:rFonts w:ascii="Arial" w:hAnsi="Arial" w:cs="Arial"/>
                <w:sz w:val="22"/>
                <w:lang w:val="en-GB"/>
              </w:rPr>
              <w:t>Loukas</w:t>
            </w:r>
            <w:proofErr w:type="spellEnd"/>
            <w:r>
              <w:rPr>
                <w:rFonts w:ascii="Arial" w:hAnsi="Arial" w:cs="Arial"/>
                <w:sz w:val="22"/>
                <w:lang w:val="en-GB"/>
              </w:rPr>
              <w:t xml:space="preserve">, </w:t>
            </w:r>
            <w:r w:rsidRPr="00A300B8">
              <w:rPr>
                <w:rFonts w:ascii="Arial" w:hAnsi="Arial" w:cs="Arial"/>
                <w:sz w:val="22"/>
                <w:lang w:val="en-GB"/>
              </w:rPr>
              <w:t xml:space="preserve">Attorney-at-Law, Law Firm </w:t>
            </w:r>
            <w:proofErr w:type="spellStart"/>
            <w:r w:rsidRPr="00A300B8">
              <w:rPr>
                <w:rFonts w:ascii="Arial" w:hAnsi="Arial" w:cs="Arial"/>
                <w:sz w:val="22"/>
                <w:lang w:val="en-GB"/>
              </w:rPr>
              <w:t>Potamitis</w:t>
            </w:r>
            <w:proofErr w:type="spellEnd"/>
            <w:r w:rsidRPr="00A300B8">
              <w:rPr>
                <w:rFonts w:ascii="Arial" w:hAnsi="Arial" w:cs="Arial"/>
                <w:sz w:val="22"/>
                <w:lang w:val="en-GB"/>
              </w:rPr>
              <w:t xml:space="preserve"> </w:t>
            </w:r>
            <w:proofErr w:type="spellStart"/>
            <w:r w:rsidRPr="00A300B8">
              <w:rPr>
                <w:rFonts w:ascii="Arial" w:hAnsi="Arial" w:cs="Arial"/>
                <w:sz w:val="22"/>
                <w:lang w:val="en-GB"/>
              </w:rPr>
              <w:t>Vekris</w:t>
            </w:r>
            <w:proofErr w:type="spellEnd"/>
            <w:r w:rsidRPr="00A300B8">
              <w:rPr>
                <w:rFonts w:ascii="Arial" w:hAnsi="Arial" w:cs="Arial"/>
                <w:sz w:val="22"/>
                <w:lang w:val="en-GB"/>
              </w:rPr>
              <w:t>, Athens</w:t>
            </w:r>
          </w:p>
          <w:p w:rsidR="007C19BD" w:rsidRPr="00A300B8" w:rsidRDefault="007C19BD" w:rsidP="00ED1686">
            <w:pPr>
              <w:rPr>
                <w:rFonts w:ascii="Arial" w:hAnsi="Arial" w:cs="Arial"/>
                <w:lang w:val="en-GB"/>
              </w:rPr>
            </w:pPr>
            <w:r>
              <w:rPr>
                <w:rFonts w:ascii="Arial" w:hAnsi="Arial" w:cs="Arial"/>
                <w:sz w:val="22"/>
                <w:lang w:val="en-GB"/>
              </w:rPr>
              <w:t>(former Vice-President Hellenic Competition Commission)</w:t>
            </w:r>
          </w:p>
        </w:tc>
      </w:tr>
      <w:tr w:rsidR="00ED1686" w:rsidRPr="00521F0E" w:rsidTr="00ED1686">
        <w:trPr>
          <w:trHeight w:val="567"/>
        </w:trPr>
        <w:tc>
          <w:tcPr>
            <w:tcW w:w="9926" w:type="dxa"/>
            <w:gridSpan w:val="3"/>
            <w:tcBorders>
              <w:top w:val="single" w:sz="4" w:space="0" w:color="auto"/>
              <w:left w:val="single" w:sz="4" w:space="0" w:color="auto"/>
              <w:bottom w:val="single" w:sz="4" w:space="0" w:color="auto"/>
              <w:right w:val="single" w:sz="4" w:space="0" w:color="auto"/>
            </w:tcBorders>
            <w:vAlign w:val="center"/>
          </w:tcPr>
          <w:p w:rsidR="00ED1686" w:rsidRPr="00ED1686" w:rsidRDefault="00ED1686" w:rsidP="00ED1686">
            <w:pPr>
              <w:rPr>
                <w:rFonts w:ascii="Arial" w:hAnsi="Arial" w:cs="Arial"/>
                <w:lang w:val="en-GB"/>
              </w:rPr>
            </w:pPr>
            <w:r w:rsidRPr="00ED1686">
              <w:rPr>
                <w:rFonts w:ascii="Arial" w:hAnsi="Arial" w:cs="Arial"/>
                <w:b/>
                <w:sz w:val="22"/>
                <w:lang w:val="en-GB"/>
              </w:rPr>
              <w:t>Module description</w:t>
            </w:r>
          </w:p>
        </w:tc>
      </w:tr>
      <w:tr w:rsidR="00ED1686" w:rsidRPr="00564D9B" w:rsidTr="00ED1686">
        <w:trPr>
          <w:trHeight w:val="170"/>
        </w:trPr>
        <w:tc>
          <w:tcPr>
            <w:tcW w:w="9926" w:type="dxa"/>
            <w:gridSpan w:val="3"/>
            <w:tcBorders>
              <w:top w:val="single" w:sz="4" w:space="0" w:color="auto"/>
              <w:left w:val="single" w:sz="4" w:space="0" w:color="auto"/>
              <w:bottom w:val="single" w:sz="4" w:space="0" w:color="auto"/>
              <w:right w:val="single" w:sz="4" w:space="0" w:color="auto"/>
            </w:tcBorders>
            <w:vAlign w:val="center"/>
          </w:tcPr>
          <w:p w:rsidR="005237D1" w:rsidRPr="001B79FE" w:rsidRDefault="001B79FE" w:rsidP="001B79FE">
            <w:pPr>
              <w:spacing w:before="120" w:after="120" w:line="320" w:lineRule="atLeast"/>
              <w:jc w:val="both"/>
              <w:rPr>
                <w:rFonts w:ascii="Arial" w:hAnsi="Arial" w:cs="Arial"/>
                <w:sz w:val="22"/>
                <w:szCs w:val="22"/>
              </w:rPr>
            </w:pPr>
            <w:r w:rsidRPr="001644E0">
              <w:rPr>
                <w:rFonts w:ascii="Arial" w:hAnsi="Arial" w:cs="Arial"/>
                <w:sz w:val="22"/>
                <w:szCs w:val="22"/>
              </w:rPr>
              <w:t xml:space="preserve">The objective of the module is to provide </w:t>
            </w:r>
            <w:r>
              <w:rPr>
                <w:rFonts w:ascii="Arial" w:hAnsi="Arial" w:cs="Arial"/>
                <w:sz w:val="22"/>
                <w:szCs w:val="22"/>
              </w:rPr>
              <w:t>participants</w:t>
            </w:r>
            <w:r w:rsidRPr="001644E0">
              <w:rPr>
                <w:rFonts w:ascii="Arial" w:hAnsi="Arial" w:cs="Arial"/>
                <w:sz w:val="22"/>
                <w:szCs w:val="22"/>
              </w:rPr>
              <w:t xml:space="preserve"> with a comprehensive and in-depth knowledge of EU </w:t>
            </w:r>
            <w:r>
              <w:rPr>
                <w:rFonts w:ascii="Arial" w:hAnsi="Arial" w:cs="Arial"/>
                <w:sz w:val="22"/>
                <w:szCs w:val="22"/>
              </w:rPr>
              <w:t>merger control rules</w:t>
            </w:r>
            <w:r w:rsidRPr="001644E0">
              <w:rPr>
                <w:rFonts w:ascii="Arial" w:hAnsi="Arial" w:cs="Arial"/>
                <w:sz w:val="22"/>
                <w:szCs w:val="22"/>
              </w:rPr>
              <w:t xml:space="preserve">, focusing both on substantive law provisions as well as on the procedural and practical aspects of enforcing them. In addition, the </w:t>
            </w:r>
            <w:r>
              <w:rPr>
                <w:rFonts w:ascii="Arial" w:hAnsi="Arial" w:cs="Arial"/>
                <w:sz w:val="22"/>
                <w:szCs w:val="22"/>
              </w:rPr>
              <w:t>module</w:t>
            </w:r>
            <w:r w:rsidRPr="001644E0">
              <w:rPr>
                <w:rFonts w:ascii="Arial" w:hAnsi="Arial" w:cs="Arial"/>
                <w:sz w:val="22"/>
                <w:szCs w:val="22"/>
              </w:rPr>
              <w:t xml:space="preserve"> aims to provide participants with a better understanding of the economic and business context in which EU </w:t>
            </w:r>
            <w:r>
              <w:rPr>
                <w:rFonts w:ascii="Arial" w:hAnsi="Arial" w:cs="Arial"/>
                <w:sz w:val="22"/>
                <w:szCs w:val="22"/>
              </w:rPr>
              <w:t>merger</w:t>
            </w:r>
            <w:r w:rsidRPr="001644E0">
              <w:rPr>
                <w:rFonts w:ascii="Arial" w:hAnsi="Arial" w:cs="Arial"/>
                <w:sz w:val="22"/>
                <w:szCs w:val="22"/>
              </w:rPr>
              <w:t xml:space="preserve"> rules are applied.</w:t>
            </w:r>
            <w:r>
              <w:rPr>
                <w:rFonts w:ascii="Arial" w:hAnsi="Arial" w:cs="Arial"/>
                <w:sz w:val="22"/>
                <w:szCs w:val="22"/>
              </w:rPr>
              <w:t xml:space="preserve"> The same principles (notably </w:t>
            </w:r>
            <w:r>
              <w:rPr>
                <w:rFonts w:ascii="Arial" w:hAnsi="Arial" w:cs="Arial"/>
                <w:sz w:val="22"/>
                <w:szCs w:val="22"/>
              </w:rPr>
              <w:t>regarding the</w:t>
            </w:r>
            <w:r>
              <w:rPr>
                <w:rFonts w:ascii="Arial" w:hAnsi="Arial" w:cs="Arial"/>
                <w:sz w:val="22"/>
                <w:szCs w:val="22"/>
              </w:rPr>
              <w:t xml:space="preserve"> competitive assessment of concentrations) are followed also by the Hellenic Competition Commission when applying national merger control rules.</w:t>
            </w:r>
          </w:p>
        </w:tc>
      </w:tr>
      <w:tr w:rsidR="00ED1686" w:rsidRPr="00521F0E" w:rsidTr="00ED1686">
        <w:trPr>
          <w:trHeight w:val="567"/>
        </w:trPr>
        <w:tc>
          <w:tcPr>
            <w:tcW w:w="9926" w:type="dxa"/>
            <w:gridSpan w:val="3"/>
            <w:tcBorders>
              <w:top w:val="single" w:sz="4" w:space="0" w:color="auto"/>
              <w:left w:val="single" w:sz="4" w:space="0" w:color="auto"/>
              <w:bottom w:val="single" w:sz="4" w:space="0" w:color="auto"/>
              <w:right w:val="single" w:sz="4" w:space="0" w:color="auto"/>
            </w:tcBorders>
            <w:vAlign w:val="center"/>
          </w:tcPr>
          <w:p w:rsidR="00ED1686" w:rsidRPr="00ED1686" w:rsidRDefault="00ED1686" w:rsidP="00ED1686">
            <w:pPr>
              <w:rPr>
                <w:rFonts w:ascii="Arial" w:hAnsi="Arial" w:cs="Arial"/>
              </w:rPr>
            </w:pPr>
            <w:r w:rsidRPr="00ED1686">
              <w:rPr>
                <w:rFonts w:ascii="Arial" w:hAnsi="Arial" w:cs="Arial"/>
                <w:b/>
                <w:sz w:val="22"/>
                <w:lang w:val="en-GB"/>
              </w:rPr>
              <w:t>Training outcomes</w:t>
            </w:r>
          </w:p>
        </w:tc>
      </w:tr>
      <w:tr w:rsidR="00ED1686" w:rsidRPr="00564D9B" w:rsidTr="002D403D">
        <w:trPr>
          <w:trHeight w:val="95"/>
        </w:trPr>
        <w:tc>
          <w:tcPr>
            <w:tcW w:w="9926" w:type="dxa"/>
            <w:gridSpan w:val="3"/>
            <w:tcBorders>
              <w:top w:val="single" w:sz="4" w:space="0" w:color="auto"/>
              <w:left w:val="single" w:sz="4" w:space="0" w:color="auto"/>
              <w:bottom w:val="single" w:sz="4" w:space="0" w:color="auto"/>
              <w:right w:val="single" w:sz="4" w:space="0" w:color="auto"/>
            </w:tcBorders>
            <w:vAlign w:val="center"/>
          </w:tcPr>
          <w:p w:rsidR="005237D1" w:rsidRPr="001B79FE" w:rsidRDefault="001B79FE" w:rsidP="001B79FE">
            <w:pPr>
              <w:spacing w:before="120" w:after="120" w:line="320" w:lineRule="atLeast"/>
              <w:jc w:val="both"/>
              <w:rPr>
                <w:rFonts w:ascii="Arial" w:hAnsi="Arial" w:cs="Arial"/>
                <w:sz w:val="22"/>
                <w:szCs w:val="22"/>
              </w:rPr>
            </w:pPr>
            <w:r w:rsidRPr="001B79FE">
              <w:rPr>
                <w:rFonts w:ascii="Arial" w:hAnsi="Arial" w:cs="Arial"/>
                <w:sz w:val="22"/>
                <w:szCs w:val="22"/>
              </w:rPr>
              <w:t>By the end of the course, participants will have acquired a</w:t>
            </w:r>
            <w:r>
              <w:rPr>
                <w:rFonts w:ascii="Arial" w:hAnsi="Arial" w:cs="Arial"/>
                <w:sz w:val="22"/>
                <w:szCs w:val="22"/>
              </w:rPr>
              <w:t xml:space="preserve"> good </w:t>
            </w:r>
            <w:r w:rsidRPr="001B79FE">
              <w:rPr>
                <w:rFonts w:ascii="Arial" w:hAnsi="Arial" w:cs="Arial"/>
                <w:sz w:val="22"/>
                <w:szCs w:val="22"/>
              </w:rPr>
              <w:t xml:space="preserve">understanding of EU </w:t>
            </w:r>
            <w:r>
              <w:rPr>
                <w:rFonts w:ascii="Arial" w:hAnsi="Arial" w:cs="Arial"/>
                <w:sz w:val="22"/>
                <w:szCs w:val="22"/>
              </w:rPr>
              <w:t>merger control rules</w:t>
            </w:r>
            <w:r w:rsidRPr="001B79FE">
              <w:rPr>
                <w:rFonts w:ascii="Arial" w:hAnsi="Arial" w:cs="Arial"/>
                <w:sz w:val="22"/>
                <w:szCs w:val="22"/>
              </w:rPr>
              <w:t xml:space="preserve">. </w:t>
            </w:r>
            <w:r>
              <w:rPr>
                <w:rFonts w:ascii="Arial" w:hAnsi="Arial" w:cs="Arial"/>
                <w:sz w:val="22"/>
                <w:szCs w:val="22"/>
              </w:rPr>
              <w:t>The objective is to get participants acquainted with key legal and economic notions regarding the assessment of mergers</w:t>
            </w:r>
            <w:r w:rsidR="00DD08A6">
              <w:rPr>
                <w:rFonts w:ascii="Arial" w:hAnsi="Arial" w:cs="Arial"/>
                <w:sz w:val="22"/>
                <w:szCs w:val="22"/>
              </w:rPr>
              <w:t xml:space="preserve">, </w:t>
            </w:r>
            <w:r>
              <w:rPr>
                <w:rFonts w:ascii="Arial" w:hAnsi="Arial" w:cs="Arial"/>
                <w:sz w:val="22"/>
                <w:szCs w:val="22"/>
              </w:rPr>
              <w:t>acquisitions</w:t>
            </w:r>
            <w:r w:rsidR="00DD08A6">
              <w:rPr>
                <w:rFonts w:ascii="Arial" w:hAnsi="Arial" w:cs="Arial"/>
                <w:sz w:val="22"/>
                <w:szCs w:val="22"/>
              </w:rPr>
              <w:t xml:space="preserve"> &amp; full-function JVs</w:t>
            </w:r>
            <w:r>
              <w:rPr>
                <w:rFonts w:ascii="Arial" w:hAnsi="Arial" w:cs="Arial"/>
                <w:sz w:val="22"/>
                <w:szCs w:val="22"/>
              </w:rPr>
              <w:t xml:space="preserve"> (many of which are equally useful when also applying Articles 102 and 101 EC Treaty, e.g. market definition, competitive assessment, market power, barriers to entry, countervailing buyer power, efficiencies etc., thereby complementing the key tenets of the training seminar </w:t>
            </w:r>
            <w:proofErr w:type="gramStart"/>
            <w:r>
              <w:rPr>
                <w:rFonts w:ascii="Arial" w:hAnsi="Arial" w:cs="Arial"/>
                <w:sz w:val="22"/>
                <w:szCs w:val="22"/>
              </w:rPr>
              <w:t>as a whole)</w:t>
            </w:r>
            <w:proofErr w:type="gramEnd"/>
            <w:r>
              <w:rPr>
                <w:rFonts w:ascii="Arial" w:hAnsi="Arial" w:cs="Arial"/>
                <w:sz w:val="22"/>
                <w:szCs w:val="22"/>
              </w:rPr>
              <w:t>.</w:t>
            </w:r>
          </w:p>
        </w:tc>
      </w:tr>
      <w:tr w:rsidR="001B79FE" w:rsidRPr="00521F0E" w:rsidTr="00ED1686">
        <w:trPr>
          <w:trHeight w:val="557"/>
        </w:trPr>
        <w:tc>
          <w:tcPr>
            <w:tcW w:w="2835" w:type="dxa"/>
            <w:tcBorders>
              <w:top w:val="single" w:sz="4" w:space="0" w:color="auto"/>
              <w:left w:val="single" w:sz="4" w:space="0" w:color="auto"/>
              <w:bottom w:val="single" w:sz="4" w:space="0" w:color="auto"/>
              <w:right w:val="single" w:sz="4" w:space="0" w:color="auto"/>
            </w:tcBorders>
            <w:vAlign w:val="center"/>
          </w:tcPr>
          <w:p w:rsidR="001B79FE" w:rsidRPr="00ED1686" w:rsidRDefault="001B79FE" w:rsidP="001B79FE">
            <w:pPr>
              <w:rPr>
                <w:rFonts w:ascii="Arial" w:hAnsi="Arial" w:cs="Arial"/>
                <w:b/>
                <w:lang w:val="en-GB"/>
              </w:rPr>
            </w:pPr>
          </w:p>
          <w:p w:rsidR="001B79FE" w:rsidRPr="00ED1686" w:rsidRDefault="001B79FE" w:rsidP="001B79FE">
            <w:pPr>
              <w:rPr>
                <w:rFonts w:ascii="Arial" w:hAnsi="Arial" w:cs="Arial"/>
                <w:b/>
                <w:lang w:val="en-GB"/>
              </w:rPr>
            </w:pPr>
          </w:p>
          <w:p w:rsidR="001B79FE" w:rsidRPr="00ED1686" w:rsidRDefault="001B79FE" w:rsidP="001B79FE">
            <w:pPr>
              <w:rPr>
                <w:rFonts w:ascii="Arial" w:hAnsi="Arial" w:cs="Arial"/>
                <w:b/>
                <w:lang w:val="en-GB"/>
              </w:rPr>
            </w:pPr>
          </w:p>
          <w:p w:rsidR="001B79FE" w:rsidRPr="00ED1686" w:rsidRDefault="001B79FE" w:rsidP="001B79FE">
            <w:pPr>
              <w:rPr>
                <w:rFonts w:ascii="Arial" w:hAnsi="Arial" w:cs="Arial"/>
                <w:b/>
                <w:lang w:val="en-GB"/>
              </w:rPr>
            </w:pPr>
            <w:r w:rsidRPr="00ED1686">
              <w:rPr>
                <w:rFonts w:ascii="Arial" w:hAnsi="Arial" w:cs="Arial"/>
                <w:b/>
                <w:sz w:val="22"/>
                <w:lang w:val="en-GB"/>
              </w:rPr>
              <w:t>Training materials/bibliography</w:t>
            </w:r>
          </w:p>
          <w:p w:rsidR="001B79FE" w:rsidRPr="00ED1686" w:rsidRDefault="001B79FE" w:rsidP="001B79FE">
            <w:pPr>
              <w:rPr>
                <w:rFonts w:ascii="Arial" w:hAnsi="Arial" w:cs="Arial"/>
                <w:b/>
              </w:rPr>
            </w:pPr>
          </w:p>
          <w:p w:rsidR="001B79FE" w:rsidRPr="00ED1686" w:rsidRDefault="001B79FE" w:rsidP="001B79FE">
            <w:pPr>
              <w:rPr>
                <w:rFonts w:ascii="Arial" w:hAnsi="Arial" w:cs="Arial"/>
                <w:b/>
              </w:rPr>
            </w:pPr>
          </w:p>
        </w:tc>
        <w:tc>
          <w:tcPr>
            <w:tcW w:w="7091" w:type="dxa"/>
            <w:gridSpan w:val="2"/>
            <w:tcBorders>
              <w:top w:val="single" w:sz="4" w:space="0" w:color="auto"/>
              <w:left w:val="single" w:sz="4" w:space="0" w:color="auto"/>
              <w:bottom w:val="single" w:sz="4" w:space="0" w:color="auto"/>
              <w:right w:val="single" w:sz="4" w:space="0" w:color="auto"/>
            </w:tcBorders>
            <w:vAlign w:val="center"/>
          </w:tcPr>
          <w:p w:rsidR="00DD08A6" w:rsidRPr="00E627D2" w:rsidRDefault="00DD08A6" w:rsidP="00DD08A6">
            <w:pPr>
              <w:spacing w:before="120" w:after="120" w:line="320" w:lineRule="atLeast"/>
              <w:jc w:val="both"/>
              <w:rPr>
                <w:rFonts w:ascii="Arial" w:hAnsi="Arial" w:cs="Arial"/>
                <w:b/>
                <w:i/>
                <w:sz w:val="22"/>
                <w:szCs w:val="22"/>
              </w:rPr>
            </w:pPr>
            <w:r w:rsidRPr="00E627D2">
              <w:rPr>
                <w:rFonts w:ascii="Arial" w:hAnsi="Arial" w:cs="Arial"/>
                <w:b/>
                <w:i/>
                <w:sz w:val="22"/>
                <w:szCs w:val="22"/>
              </w:rPr>
              <w:t>Training materials</w:t>
            </w:r>
          </w:p>
          <w:p w:rsidR="00DD08A6" w:rsidRPr="00E627D2" w:rsidRDefault="00DD08A6" w:rsidP="00E627D2">
            <w:pPr>
              <w:pStyle w:val="a3"/>
              <w:numPr>
                <w:ilvl w:val="0"/>
                <w:numId w:val="9"/>
              </w:numPr>
              <w:spacing w:before="120" w:after="120" w:line="320" w:lineRule="atLeast"/>
              <w:jc w:val="both"/>
              <w:rPr>
                <w:rFonts w:ascii="Arial" w:hAnsi="Arial" w:cs="Arial"/>
              </w:rPr>
            </w:pPr>
            <w:r w:rsidRPr="00E627D2">
              <w:rPr>
                <w:rFonts w:ascii="Arial" w:hAnsi="Arial" w:cs="Arial"/>
              </w:rPr>
              <w:t>PowerPoint presentation – Jurisdictional aspects</w:t>
            </w:r>
          </w:p>
          <w:p w:rsidR="00DD08A6" w:rsidRPr="00E627D2" w:rsidRDefault="00DD08A6" w:rsidP="00E627D2">
            <w:pPr>
              <w:pStyle w:val="a3"/>
              <w:numPr>
                <w:ilvl w:val="0"/>
                <w:numId w:val="9"/>
              </w:numPr>
              <w:spacing w:before="120" w:after="120" w:line="320" w:lineRule="atLeast"/>
              <w:jc w:val="both"/>
              <w:rPr>
                <w:rFonts w:ascii="Arial" w:hAnsi="Arial" w:cs="Arial"/>
              </w:rPr>
            </w:pPr>
            <w:r w:rsidRPr="00E627D2">
              <w:rPr>
                <w:rFonts w:ascii="Arial" w:hAnsi="Arial" w:cs="Arial"/>
              </w:rPr>
              <w:t xml:space="preserve">PowerPoint presentation – </w:t>
            </w:r>
            <w:r w:rsidRPr="00E627D2">
              <w:rPr>
                <w:rFonts w:ascii="Arial" w:hAnsi="Arial" w:cs="Arial"/>
              </w:rPr>
              <w:t>Competitive Assessment</w:t>
            </w:r>
          </w:p>
          <w:p w:rsidR="00DD08A6" w:rsidRDefault="00DD08A6" w:rsidP="00E627D2">
            <w:pPr>
              <w:pStyle w:val="a3"/>
              <w:numPr>
                <w:ilvl w:val="0"/>
                <w:numId w:val="9"/>
              </w:numPr>
              <w:spacing w:before="120" w:after="120" w:line="320" w:lineRule="atLeast"/>
              <w:jc w:val="both"/>
              <w:rPr>
                <w:rFonts w:ascii="Arial" w:hAnsi="Arial" w:cs="Arial"/>
              </w:rPr>
            </w:pPr>
            <w:r w:rsidRPr="00E627D2">
              <w:rPr>
                <w:rFonts w:ascii="Arial" w:hAnsi="Arial" w:cs="Arial"/>
              </w:rPr>
              <w:t xml:space="preserve">PowerPoint presentation – </w:t>
            </w:r>
            <w:r w:rsidRPr="00E627D2">
              <w:rPr>
                <w:rFonts w:ascii="Arial" w:hAnsi="Arial" w:cs="Arial"/>
              </w:rPr>
              <w:t>Case Study (Olympic/Aegean I &amp; II)</w:t>
            </w:r>
          </w:p>
          <w:p w:rsidR="00E627D2" w:rsidRPr="00E627D2" w:rsidRDefault="00E627D2" w:rsidP="00E627D2">
            <w:pPr>
              <w:pStyle w:val="a3"/>
              <w:numPr>
                <w:ilvl w:val="0"/>
                <w:numId w:val="9"/>
              </w:numPr>
              <w:spacing w:before="120" w:after="120" w:line="320" w:lineRule="atLeast"/>
              <w:jc w:val="both"/>
              <w:rPr>
                <w:rFonts w:ascii="Arial" w:hAnsi="Arial" w:cs="Arial"/>
              </w:rPr>
            </w:pPr>
            <w:r w:rsidRPr="00E627D2">
              <w:rPr>
                <w:rFonts w:ascii="Arial" w:hAnsi="Arial" w:cs="Arial"/>
              </w:rPr>
              <w:t xml:space="preserve">EU </w:t>
            </w:r>
            <w:r w:rsidRPr="00E627D2">
              <w:rPr>
                <w:rFonts w:ascii="Arial" w:eastAsia="Times New Roman" w:hAnsi="Arial" w:cs="Arial"/>
              </w:rPr>
              <w:t>Consolidated Jurisdictional Notice</w:t>
            </w:r>
            <w:r w:rsidRPr="00E627D2">
              <w:rPr>
                <w:rFonts w:ascii="Arial" w:hAnsi="Arial" w:cs="Arial"/>
              </w:rPr>
              <w:t xml:space="preserve"> (</w:t>
            </w:r>
            <w:hyperlink r:id="rId5" w:history="1">
              <w:r w:rsidRPr="00E627D2">
                <w:rPr>
                  <w:rFonts w:ascii="Arial" w:eastAsiaTheme="minorHAnsi" w:hAnsi="Arial" w:cs="Arial"/>
                  <w:color w:val="0000FF" w:themeColor="hyperlink"/>
                  <w:u w:val="single"/>
                </w:rPr>
                <w:t>http://eur-lex.europa.eu/LexUriServ/LexUriServ.do?uri=OJ:C:2008:095:0001:0048:EL:PDF</w:t>
              </w:r>
            </w:hyperlink>
            <w:r>
              <w:rPr>
                <w:rFonts w:ascii="Arial" w:eastAsiaTheme="minorHAnsi" w:hAnsi="Arial" w:cs="Arial"/>
                <w:color w:val="0000FF" w:themeColor="hyperlink"/>
                <w:u w:val="single"/>
              </w:rPr>
              <w:t>)</w:t>
            </w:r>
          </w:p>
          <w:p w:rsidR="00E627D2" w:rsidRPr="00E627D2" w:rsidRDefault="00E627D2" w:rsidP="00E627D2">
            <w:pPr>
              <w:pStyle w:val="a3"/>
              <w:numPr>
                <w:ilvl w:val="0"/>
                <w:numId w:val="9"/>
              </w:numPr>
              <w:spacing w:before="120" w:after="120" w:line="320" w:lineRule="atLeast"/>
              <w:jc w:val="both"/>
              <w:rPr>
                <w:rFonts w:ascii="Arial" w:hAnsi="Arial" w:cs="Arial"/>
              </w:rPr>
            </w:pPr>
            <w:r w:rsidRPr="00E627D2">
              <w:rPr>
                <w:rFonts w:ascii="Arial" w:hAnsi="Arial" w:cs="Arial"/>
              </w:rPr>
              <w:t>EU Guidelines for the assessment of concentrations (</w:t>
            </w:r>
            <w:hyperlink r:id="rId6" w:history="1">
              <w:r w:rsidRPr="00E627D2">
                <w:rPr>
                  <w:rFonts w:ascii="Arial" w:eastAsiaTheme="minorHAnsi" w:hAnsi="Arial" w:cs="Arial"/>
                  <w:color w:val="0000FF" w:themeColor="hyperlink"/>
                  <w:u w:val="single"/>
                </w:rPr>
                <w:t>http://ec.europa.eu/competition/mergers/legislation/notices_on_substance.html</w:t>
              </w:r>
            </w:hyperlink>
            <w:r w:rsidRPr="00E627D2">
              <w:rPr>
                <w:rFonts w:ascii="Arial" w:eastAsiaTheme="minorHAnsi" w:hAnsi="Arial" w:cs="Arial"/>
                <w:color w:val="0000FF" w:themeColor="hyperlink"/>
                <w:u w:val="single"/>
              </w:rPr>
              <w:t>)</w:t>
            </w:r>
          </w:p>
          <w:p w:rsidR="00DD08A6" w:rsidRPr="00DD08A6" w:rsidRDefault="00DD08A6" w:rsidP="00DD08A6">
            <w:pPr>
              <w:spacing w:before="120" w:after="120" w:line="320" w:lineRule="atLeast"/>
              <w:jc w:val="both"/>
              <w:rPr>
                <w:rFonts w:ascii="Arial" w:hAnsi="Arial" w:cs="Arial"/>
                <w:b/>
                <w:i/>
                <w:sz w:val="22"/>
                <w:szCs w:val="22"/>
              </w:rPr>
            </w:pPr>
            <w:r w:rsidRPr="00DD08A6">
              <w:rPr>
                <w:rFonts w:ascii="Arial" w:hAnsi="Arial" w:cs="Arial"/>
                <w:b/>
                <w:i/>
                <w:sz w:val="22"/>
                <w:szCs w:val="22"/>
              </w:rPr>
              <w:t>Bibliography</w:t>
            </w:r>
          </w:p>
          <w:p w:rsidR="00DD08A6" w:rsidRPr="00E627D2" w:rsidRDefault="00DD08A6" w:rsidP="00E627D2">
            <w:pPr>
              <w:pStyle w:val="a3"/>
              <w:numPr>
                <w:ilvl w:val="0"/>
                <w:numId w:val="10"/>
              </w:numPr>
              <w:spacing w:before="120" w:after="120" w:line="320" w:lineRule="atLeast"/>
              <w:jc w:val="both"/>
              <w:rPr>
                <w:rFonts w:ascii="Arial" w:hAnsi="Arial" w:cs="Arial"/>
              </w:rPr>
            </w:pPr>
            <w:r w:rsidRPr="00E627D2">
              <w:rPr>
                <w:rFonts w:ascii="Arial" w:hAnsi="Arial" w:cs="Arial"/>
                <w:lang w:val="el-GR"/>
              </w:rPr>
              <w:t>Δίκαιο του ελεύθερου ανταγωνισμού (</w:t>
            </w:r>
            <w:proofErr w:type="spellStart"/>
            <w:r w:rsidRPr="00E627D2">
              <w:rPr>
                <w:rFonts w:ascii="Arial" w:hAnsi="Arial" w:cs="Arial"/>
                <w:lang w:val="el-GR"/>
              </w:rPr>
              <w:t>επιμ</w:t>
            </w:r>
            <w:proofErr w:type="spellEnd"/>
            <w:r w:rsidRPr="00E627D2">
              <w:rPr>
                <w:rFonts w:ascii="Arial" w:hAnsi="Arial" w:cs="Arial"/>
                <w:lang w:val="el-GR"/>
              </w:rPr>
              <w:t xml:space="preserve">. </w:t>
            </w:r>
            <w:r w:rsidRPr="00E627D2">
              <w:rPr>
                <w:rFonts w:ascii="Arial" w:hAnsi="Arial" w:cs="Arial"/>
              </w:rPr>
              <w:t xml:space="preserve">Δ. </w:t>
            </w:r>
            <w:proofErr w:type="spellStart"/>
            <w:r w:rsidRPr="00E627D2">
              <w:rPr>
                <w:rFonts w:ascii="Arial" w:hAnsi="Arial" w:cs="Arial"/>
              </w:rPr>
              <w:t>Τζουγανάτος</w:t>
            </w:r>
            <w:proofErr w:type="spellEnd"/>
            <w:r w:rsidRPr="00E627D2">
              <w:rPr>
                <w:rFonts w:ascii="Arial" w:hAnsi="Arial" w:cs="Arial"/>
              </w:rPr>
              <w:t>), Νομική Βιβλιοθήκη 2013</w:t>
            </w:r>
          </w:p>
          <w:p w:rsidR="00DD08A6" w:rsidRPr="00E627D2" w:rsidRDefault="00DD08A6" w:rsidP="00E627D2">
            <w:pPr>
              <w:pStyle w:val="a3"/>
              <w:numPr>
                <w:ilvl w:val="0"/>
                <w:numId w:val="10"/>
              </w:numPr>
              <w:spacing w:before="120" w:after="120" w:line="320" w:lineRule="atLeast"/>
              <w:jc w:val="both"/>
              <w:rPr>
                <w:rFonts w:ascii="Arial" w:hAnsi="Arial" w:cs="Arial"/>
              </w:rPr>
            </w:pPr>
            <w:r w:rsidRPr="00E627D2">
              <w:rPr>
                <w:rFonts w:ascii="Arial" w:hAnsi="Arial" w:cs="Arial"/>
              </w:rPr>
              <w:t xml:space="preserve">Daniel Gore, Stephen Lewis, Frances </w:t>
            </w:r>
            <w:proofErr w:type="spellStart"/>
            <w:r w:rsidRPr="00E627D2">
              <w:rPr>
                <w:rFonts w:ascii="Arial" w:hAnsi="Arial" w:cs="Arial"/>
              </w:rPr>
              <w:t>Dethmers</w:t>
            </w:r>
            <w:proofErr w:type="spellEnd"/>
            <w:r w:rsidRPr="00E627D2">
              <w:rPr>
                <w:rFonts w:ascii="Arial" w:hAnsi="Arial" w:cs="Arial"/>
              </w:rPr>
              <w:t xml:space="preserve"> &amp; Andrea </w:t>
            </w:r>
            <w:proofErr w:type="spellStart"/>
            <w:r w:rsidRPr="00E627D2">
              <w:rPr>
                <w:rFonts w:ascii="Arial" w:hAnsi="Arial" w:cs="Arial"/>
              </w:rPr>
              <w:t>Lofaro</w:t>
            </w:r>
            <w:proofErr w:type="spellEnd"/>
            <w:r w:rsidRPr="00E627D2">
              <w:rPr>
                <w:rFonts w:ascii="Arial" w:hAnsi="Arial" w:cs="Arial"/>
              </w:rPr>
              <w:t xml:space="preserve">, The </w:t>
            </w:r>
            <w:proofErr w:type="spellStart"/>
            <w:r w:rsidRPr="00E627D2">
              <w:rPr>
                <w:rFonts w:ascii="Arial" w:hAnsi="Arial" w:cs="Arial"/>
              </w:rPr>
              <w:t>Economic</w:t>
            </w:r>
            <w:proofErr w:type="spellEnd"/>
            <w:r w:rsidRPr="00E627D2">
              <w:rPr>
                <w:rFonts w:ascii="Arial" w:hAnsi="Arial" w:cs="Arial"/>
              </w:rPr>
              <w:t xml:space="preserve"> Assessment </w:t>
            </w:r>
            <w:proofErr w:type="spellStart"/>
            <w:r w:rsidRPr="00E627D2">
              <w:rPr>
                <w:rFonts w:ascii="Arial" w:hAnsi="Arial" w:cs="Arial"/>
              </w:rPr>
              <w:t>of</w:t>
            </w:r>
            <w:proofErr w:type="spellEnd"/>
            <w:r w:rsidRPr="00E627D2">
              <w:rPr>
                <w:rFonts w:ascii="Arial" w:hAnsi="Arial" w:cs="Arial"/>
              </w:rPr>
              <w:t xml:space="preserve"> Mergers </w:t>
            </w:r>
            <w:proofErr w:type="spellStart"/>
            <w:r w:rsidRPr="00E627D2">
              <w:rPr>
                <w:rFonts w:ascii="Arial" w:hAnsi="Arial" w:cs="Arial"/>
              </w:rPr>
              <w:t>Under</w:t>
            </w:r>
            <w:proofErr w:type="spellEnd"/>
            <w:r w:rsidRPr="00E627D2">
              <w:rPr>
                <w:rFonts w:ascii="Arial" w:hAnsi="Arial" w:cs="Arial"/>
              </w:rPr>
              <w:t xml:space="preserve"> European Competition Law, Cambridge University Press 2013</w:t>
            </w:r>
          </w:p>
          <w:p w:rsidR="001B79FE" w:rsidRPr="00E627D2" w:rsidRDefault="001B79FE" w:rsidP="00E627D2">
            <w:pPr>
              <w:pStyle w:val="a3"/>
              <w:numPr>
                <w:ilvl w:val="0"/>
                <w:numId w:val="10"/>
              </w:numPr>
              <w:spacing w:before="120" w:after="120" w:line="320" w:lineRule="atLeast"/>
              <w:jc w:val="both"/>
              <w:rPr>
                <w:rFonts w:ascii="Arial" w:hAnsi="Arial" w:cs="Arial"/>
              </w:rPr>
            </w:pPr>
            <w:r w:rsidRPr="00E627D2">
              <w:rPr>
                <w:rFonts w:ascii="Arial" w:hAnsi="Arial" w:cs="Arial"/>
              </w:rPr>
              <w:lastRenderedPageBreak/>
              <w:t>Bellamy &amp; Child, European Union law of competition, 7th ed. 2015 update pack, OUP 2015</w:t>
            </w:r>
          </w:p>
          <w:p w:rsidR="00DD08A6" w:rsidRPr="00E627D2" w:rsidRDefault="00DD08A6" w:rsidP="00E627D2">
            <w:pPr>
              <w:pStyle w:val="a3"/>
              <w:numPr>
                <w:ilvl w:val="0"/>
                <w:numId w:val="10"/>
              </w:numPr>
              <w:spacing w:before="120" w:after="120" w:line="320" w:lineRule="atLeast"/>
              <w:jc w:val="both"/>
              <w:rPr>
                <w:rFonts w:ascii="Arial" w:hAnsi="Arial" w:cs="Arial"/>
              </w:rPr>
            </w:pPr>
            <w:r w:rsidRPr="00E627D2">
              <w:rPr>
                <w:rFonts w:ascii="Arial" w:hAnsi="Arial" w:cs="Arial"/>
              </w:rPr>
              <w:t>Nicholas Levy, European Merger Control Law: A Guide to the Merger Regulation (</w:t>
            </w:r>
            <w:proofErr w:type="spellStart"/>
            <w:r w:rsidRPr="00E627D2">
              <w:rPr>
                <w:rFonts w:ascii="Arial" w:hAnsi="Arial" w:cs="Arial"/>
              </w:rPr>
              <w:t>looseleaf</w:t>
            </w:r>
            <w:proofErr w:type="spellEnd"/>
            <w:r w:rsidRPr="00E627D2">
              <w:rPr>
                <w:rFonts w:ascii="Arial" w:hAnsi="Arial" w:cs="Arial"/>
              </w:rPr>
              <w:t>), LexisNexis 2015</w:t>
            </w:r>
          </w:p>
          <w:p w:rsidR="001B79FE" w:rsidRPr="00E627D2" w:rsidRDefault="001B79FE" w:rsidP="00E627D2">
            <w:pPr>
              <w:pStyle w:val="a3"/>
              <w:numPr>
                <w:ilvl w:val="0"/>
                <w:numId w:val="10"/>
              </w:numPr>
              <w:spacing w:before="120" w:after="120" w:line="320" w:lineRule="atLeast"/>
              <w:jc w:val="both"/>
              <w:rPr>
                <w:rFonts w:ascii="Arial" w:hAnsi="Arial" w:cs="Arial"/>
              </w:rPr>
            </w:pPr>
            <w:r w:rsidRPr="00E627D2">
              <w:rPr>
                <w:rFonts w:ascii="Arial" w:hAnsi="Arial" w:cs="Arial"/>
              </w:rPr>
              <w:t>Richard Whish &amp; David Bailey, Competition Law, 8th ed. OUP 2015</w:t>
            </w:r>
          </w:p>
          <w:p w:rsidR="001B79FE" w:rsidRPr="00E627D2" w:rsidRDefault="001B79FE" w:rsidP="00E627D2">
            <w:pPr>
              <w:pStyle w:val="a3"/>
              <w:numPr>
                <w:ilvl w:val="0"/>
                <w:numId w:val="10"/>
              </w:numPr>
              <w:spacing w:before="120" w:after="120" w:line="320" w:lineRule="atLeast"/>
              <w:jc w:val="both"/>
              <w:rPr>
                <w:rFonts w:ascii="Arial" w:hAnsi="Arial" w:cs="Arial"/>
              </w:rPr>
            </w:pPr>
            <w:r w:rsidRPr="00E627D2">
              <w:rPr>
                <w:rFonts w:ascii="Arial" w:hAnsi="Arial" w:cs="Arial"/>
              </w:rPr>
              <w:t xml:space="preserve">Jonathan Faull &amp; Ali </w:t>
            </w:r>
            <w:proofErr w:type="spellStart"/>
            <w:r w:rsidRPr="00E627D2">
              <w:rPr>
                <w:rFonts w:ascii="Arial" w:hAnsi="Arial" w:cs="Arial"/>
              </w:rPr>
              <w:t>Nikpay</w:t>
            </w:r>
            <w:proofErr w:type="spellEnd"/>
            <w:r w:rsidRPr="00E627D2">
              <w:rPr>
                <w:rFonts w:ascii="Arial" w:hAnsi="Arial" w:cs="Arial"/>
              </w:rPr>
              <w:t>, The EU law of competition, 3rd ed. OUP 2014</w:t>
            </w:r>
          </w:p>
        </w:tc>
      </w:tr>
      <w:tr w:rsidR="001B79FE" w:rsidRPr="00AC0285" w:rsidTr="00ED1686">
        <w:trPr>
          <w:trHeight w:val="830"/>
        </w:trPr>
        <w:tc>
          <w:tcPr>
            <w:tcW w:w="2835" w:type="dxa"/>
            <w:tcBorders>
              <w:top w:val="single" w:sz="4" w:space="0" w:color="auto"/>
              <w:left w:val="single" w:sz="4" w:space="0" w:color="auto"/>
              <w:bottom w:val="single" w:sz="4" w:space="0" w:color="auto"/>
              <w:right w:val="single" w:sz="4" w:space="0" w:color="auto"/>
            </w:tcBorders>
            <w:vAlign w:val="bottom"/>
          </w:tcPr>
          <w:p w:rsidR="001B79FE" w:rsidRPr="00ED1686" w:rsidRDefault="001B79FE" w:rsidP="001B79FE">
            <w:pPr>
              <w:rPr>
                <w:rFonts w:ascii="Arial" w:hAnsi="Arial" w:cs="Arial"/>
                <w:b/>
                <w:lang w:val="en-GB"/>
              </w:rPr>
            </w:pPr>
            <w:r w:rsidRPr="00ED1686">
              <w:rPr>
                <w:rFonts w:ascii="Arial" w:hAnsi="Arial" w:cs="Arial"/>
                <w:b/>
                <w:sz w:val="22"/>
                <w:lang w:val="en-GB"/>
              </w:rPr>
              <w:lastRenderedPageBreak/>
              <w:t>Teaching Methodology</w:t>
            </w:r>
          </w:p>
          <w:p w:rsidR="001B79FE" w:rsidRPr="00A300B8" w:rsidRDefault="001B79FE" w:rsidP="001B79FE">
            <w:pPr>
              <w:rPr>
                <w:rFonts w:ascii="Arial" w:hAnsi="Arial" w:cs="Arial"/>
                <w:b/>
              </w:rPr>
            </w:pPr>
          </w:p>
        </w:tc>
        <w:tc>
          <w:tcPr>
            <w:tcW w:w="6793" w:type="dxa"/>
            <w:tcBorders>
              <w:top w:val="single" w:sz="4" w:space="0" w:color="auto"/>
              <w:left w:val="single" w:sz="4" w:space="0" w:color="auto"/>
              <w:bottom w:val="single" w:sz="4" w:space="0" w:color="auto"/>
            </w:tcBorders>
            <w:vAlign w:val="center"/>
          </w:tcPr>
          <w:p w:rsidR="001B79FE" w:rsidRPr="001B79FE" w:rsidRDefault="001B79FE" w:rsidP="001B79FE">
            <w:pPr>
              <w:pStyle w:val="a3"/>
              <w:numPr>
                <w:ilvl w:val="0"/>
                <w:numId w:val="7"/>
              </w:numPr>
              <w:spacing w:before="120" w:after="120" w:line="320" w:lineRule="atLeast"/>
              <w:jc w:val="both"/>
              <w:rPr>
                <w:rFonts w:ascii="Arial" w:hAnsi="Arial" w:cs="Arial"/>
              </w:rPr>
            </w:pPr>
            <w:r w:rsidRPr="001B79FE">
              <w:rPr>
                <w:rFonts w:ascii="Arial" w:hAnsi="Arial" w:cs="Arial"/>
              </w:rPr>
              <w:t>Use of PowerPoint presentations (jurisdictional aspects, competitive assessment)</w:t>
            </w:r>
            <w:r>
              <w:rPr>
                <w:rFonts w:ascii="Arial" w:hAnsi="Arial" w:cs="Arial"/>
              </w:rPr>
              <w:t xml:space="preserve"> in a lecture format</w:t>
            </w:r>
          </w:p>
          <w:p w:rsidR="001B79FE" w:rsidRDefault="001B79FE" w:rsidP="001B79FE">
            <w:pPr>
              <w:pStyle w:val="a3"/>
              <w:numPr>
                <w:ilvl w:val="0"/>
                <w:numId w:val="7"/>
              </w:numPr>
              <w:spacing w:before="120" w:after="120" w:line="320" w:lineRule="atLeast"/>
              <w:jc w:val="both"/>
              <w:rPr>
                <w:rFonts w:ascii="Arial" w:hAnsi="Arial" w:cs="Arial"/>
              </w:rPr>
            </w:pPr>
            <w:r w:rsidRPr="001B79FE">
              <w:rPr>
                <w:rFonts w:ascii="Arial" w:hAnsi="Arial" w:cs="Arial"/>
              </w:rPr>
              <w:t>Case studies (Olympic/Aegean II)</w:t>
            </w:r>
            <w:r>
              <w:rPr>
                <w:rFonts w:ascii="Arial" w:hAnsi="Arial" w:cs="Arial"/>
              </w:rPr>
              <w:t xml:space="preserve"> in an interactive/ discussion format </w:t>
            </w:r>
          </w:p>
          <w:p w:rsidR="001B79FE" w:rsidRPr="001B79FE" w:rsidRDefault="001B79FE" w:rsidP="001B79FE">
            <w:pPr>
              <w:pStyle w:val="a3"/>
              <w:numPr>
                <w:ilvl w:val="0"/>
                <w:numId w:val="7"/>
              </w:numPr>
              <w:spacing w:before="120" w:after="120" w:line="320" w:lineRule="atLeast"/>
              <w:jc w:val="both"/>
              <w:rPr>
                <w:rFonts w:ascii="Arial" w:hAnsi="Arial" w:cs="Arial"/>
              </w:rPr>
            </w:pPr>
            <w:r>
              <w:rPr>
                <w:rFonts w:ascii="Arial" w:hAnsi="Arial" w:cs="Arial"/>
              </w:rPr>
              <w:t>Q&amp;As in a discussion format</w:t>
            </w:r>
          </w:p>
        </w:tc>
        <w:tc>
          <w:tcPr>
            <w:tcW w:w="298" w:type="dxa"/>
            <w:tcBorders>
              <w:top w:val="single" w:sz="4" w:space="0" w:color="auto"/>
              <w:left w:val="nil"/>
              <w:bottom w:val="single" w:sz="4" w:space="0" w:color="auto"/>
              <w:right w:val="single" w:sz="4" w:space="0" w:color="auto"/>
            </w:tcBorders>
            <w:vAlign w:val="center"/>
          </w:tcPr>
          <w:p w:rsidR="001B79FE" w:rsidRPr="002D403D" w:rsidRDefault="001B79FE" w:rsidP="001B79FE">
            <w:pPr>
              <w:rPr>
                <w:rFonts w:ascii="Arial" w:hAnsi="Arial" w:cs="Arial"/>
                <w:lang w:val="en-GB"/>
              </w:rPr>
            </w:pPr>
          </w:p>
        </w:tc>
      </w:tr>
      <w:tr w:rsidR="001B79FE" w:rsidRPr="00E13EE4" w:rsidTr="00ED1686">
        <w:trPr>
          <w:trHeight w:val="567"/>
        </w:trPr>
        <w:tc>
          <w:tcPr>
            <w:tcW w:w="2835" w:type="dxa"/>
            <w:tcBorders>
              <w:top w:val="single" w:sz="4" w:space="0" w:color="auto"/>
              <w:left w:val="single" w:sz="4" w:space="0" w:color="auto"/>
              <w:bottom w:val="single" w:sz="4" w:space="0" w:color="auto"/>
              <w:right w:val="single" w:sz="4" w:space="0" w:color="auto"/>
            </w:tcBorders>
            <w:vAlign w:val="center"/>
          </w:tcPr>
          <w:p w:rsidR="001B79FE" w:rsidRPr="00ED1686" w:rsidRDefault="001B79FE" w:rsidP="001B79FE">
            <w:pPr>
              <w:rPr>
                <w:rFonts w:ascii="Arial" w:hAnsi="Arial" w:cs="Arial"/>
                <w:b/>
              </w:rPr>
            </w:pPr>
            <w:r w:rsidRPr="00ED1686">
              <w:rPr>
                <w:rFonts w:ascii="Arial" w:hAnsi="Arial" w:cs="Arial"/>
                <w:b/>
                <w:sz w:val="22"/>
                <w:lang w:val="en-GB"/>
              </w:rPr>
              <w:t>Language</w:t>
            </w:r>
          </w:p>
        </w:tc>
        <w:tc>
          <w:tcPr>
            <w:tcW w:w="7091" w:type="dxa"/>
            <w:gridSpan w:val="2"/>
            <w:tcBorders>
              <w:top w:val="single" w:sz="4" w:space="0" w:color="auto"/>
              <w:left w:val="single" w:sz="4" w:space="0" w:color="auto"/>
              <w:bottom w:val="single" w:sz="4" w:space="0" w:color="auto"/>
              <w:right w:val="single" w:sz="4" w:space="0" w:color="auto"/>
            </w:tcBorders>
            <w:vAlign w:val="center"/>
          </w:tcPr>
          <w:p w:rsidR="001B79FE" w:rsidRPr="006E11EB" w:rsidRDefault="001B79FE" w:rsidP="001B79FE">
            <w:pPr>
              <w:rPr>
                <w:rFonts w:ascii="Arial" w:hAnsi="Arial" w:cs="Arial"/>
                <w:lang w:val="en-GB"/>
              </w:rPr>
            </w:pPr>
            <w:r>
              <w:rPr>
                <w:rFonts w:ascii="Arial" w:hAnsi="Arial" w:cs="Arial"/>
                <w:sz w:val="22"/>
                <w:lang w:val="en-GB"/>
              </w:rPr>
              <w:t>Greek</w:t>
            </w:r>
          </w:p>
        </w:tc>
      </w:tr>
    </w:tbl>
    <w:p w:rsidR="00B902C8" w:rsidRDefault="00B902C8" w:rsidP="00ED1686"/>
    <w:p w:rsidR="001B79FE" w:rsidRDefault="001B79FE" w:rsidP="00ED1686">
      <w:bookmarkStart w:id="0" w:name="_GoBack"/>
      <w:bookmarkEnd w:id="0"/>
    </w:p>
    <w:sectPr w:rsidR="001B79FE" w:rsidSect="006258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Lucida Grande">
    <w:altName w:val="Franklin Gothic Medium Cond"/>
    <w:charset w:val="00"/>
    <w:family w:val="auto"/>
    <w:pitch w:val="variable"/>
    <w:sig w:usb0="E1000AEF" w:usb1="5000A1FF" w:usb2="00000000" w:usb3="00000000" w:csb0="000001B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87191"/>
    <w:multiLevelType w:val="hybridMultilevel"/>
    <w:tmpl w:val="0C8C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B21A66"/>
    <w:multiLevelType w:val="hybridMultilevel"/>
    <w:tmpl w:val="C178A096"/>
    <w:lvl w:ilvl="0" w:tplc="47E0CF96">
      <w:start w:val="1"/>
      <w:numFmt w:val="decimal"/>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447E5E83"/>
    <w:multiLevelType w:val="hybridMultilevel"/>
    <w:tmpl w:val="438EE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BD26C2"/>
    <w:multiLevelType w:val="hybridMultilevel"/>
    <w:tmpl w:val="DE2CD6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E891CD3"/>
    <w:multiLevelType w:val="hybridMultilevel"/>
    <w:tmpl w:val="F0BA9D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A8E45FA"/>
    <w:multiLevelType w:val="hybridMultilevel"/>
    <w:tmpl w:val="93AA4616"/>
    <w:lvl w:ilvl="0" w:tplc="678A915E">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24D78BE"/>
    <w:multiLevelType w:val="hybridMultilevel"/>
    <w:tmpl w:val="DF0AFD8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724054B4"/>
    <w:multiLevelType w:val="hybridMultilevel"/>
    <w:tmpl w:val="DDD27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006A1B"/>
    <w:multiLevelType w:val="hybridMultilevel"/>
    <w:tmpl w:val="AAD06BA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7EC5CAB"/>
    <w:multiLevelType w:val="hybridMultilevel"/>
    <w:tmpl w:val="89CA8DE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7"/>
  </w:num>
  <w:num w:numId="6">
    <w:abstractNumId w:val="8"/>
  </w:num>
  <w:num w:numId="7">
    <w:abstractNumId w:val="4"/>
  </w:num>
  <w:num w:numId="8">
    <w:abstractNumId w:val="5"/>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B25"/>
    <w:rsid w:val="00024C21"/>
    <w:rsid w:val="00094DB0"/>
    <w:rsid w:val="00096C44"/>
    <w:rsid w:val="000C3F1B"/>
    <w:rsid w:val="000C7640"/>
    <w:rsid w:val="000F0F3A"/>
    <w:rsid w:val="00134F21"/>
    <w:rsid w:val="001610DC"/>
    <w:rsid w:val="001652EF"/>
    <w:rsid w:val="00181762"/>
    <w:rsid w:val="00194A5D"/>
    <w:rsid w:val="001B647A"/>
    <w:rsid w:val="001B79FE"/>
    <w:rsid w:val="001C2D8A"/>
    <w:rsid w:val="001F33EE"/>
    <w:rsid w:val="00236157"/>
    <w:rsid w:val="00281020"/>
    <w:rsid w:val="00290CFC"/>
    <w:rsid w:val="00292144"/>
    <w:rsid w:val="002A702C"/>
    <w:rsid w:val="002D403D"/>
    <w:rsid w:val="002D5F97"/>
    <w:rsid w:val="002E7470"/>
    <w:rsid w:val="00330813"/>
    <w:rsid w:val="00335917"/>
    <w:rsid w:val="00343FEB"/>
    <w:rsid w:val="00344E1D"/>
    <w:rsid w:val="0035497D"/>
    <w:rsid w:val="00362B22"/>
    <w:rsid w:val="0038536B"/>
    <w:rsid w:val="00392AA1"/>
    <w:rsid w:val="003E4613"/>
    <w:rsid w:val="003F2756"/>
    <w:rsid w:val="00405767"/>
    <w:rsid w:val="00422AB5"/>
    <w:rsid w:val="004242C1"/>
    <w:rsid w:val="00433DBD"/>
    <w:rsid w:val="00451D5C"/>
    <w:rsid w:val="004532E6"/>
    <w:rsid w:val="00454ED5"/>
    <w:rsid w:val="0045710F"/>
    <w:rsid w:val="004A0B91"/>
    <w:rsid w:val="004A1EED"/>
    <w:rsid w:val="004C15E3"/>
    <w:rsid w:val="004E4826"/>
    <w:rsid w:val="004F712D"/>
    <w:rsid w:val="005108F8"/>
    <w:rsid w:val="00521F0E"/>
    <w:rsid w:val="005237D1"/>
    <w:rsid w:val="00564D9B"/>
    <w:rsid w:val="005B06A8"/>
    <w:rsid w:val="005B5970"/>
    <w:rsid w:val="005C010B"/>
    <w:rsid w:val="005D3B70"/>
    <w:rsid w:val="005E6B20"/>
    <w:rsid w:val="00601BA3"/>
    <w:rsid w:val="00625839"/>
    <w:rsid w:val="00650997"/>
    <w:rsid w:val="0065110D"/>
    <w:rsid w:val="00664E7A"/>
    <w:rsid w:val="00694C61"/>
    <w:rsid w:val="006A493C"/>
    <w:rsid w:val="006C12DB"/>
    <w:rsid w:val="006C67D4"/>
    <w:rsid w:val="006D1521"/>
    <w:rsid w:val="006E11EB"/>
    <w:rsid w:val="007024ED"/>
    <w:rsid w:val="007065BE"/>
    <w:rsid w:val="007410D0"/>
    <w:rsid w:val="00742517"/>
    <w:rsid w:val="007520A5"/>
    <w:rsid w:val="00752B25"/>
    <w:rsid w:val="00756F93"/>
    <w:rsid w:val="00761566"/>
    <w:rsid w:val="00777ED5"/>
    <w:rsid w:val="00797CDA"/>
    <w:rsid w:val="007C19BD"/>
    <w:rsid w:val="007D4DC0"/>
    <w:rsid w:val="007E1FA2"/>
    <w:rsid w:val="007F2457"/>
    <w:rsid w:val="00800D87"/>
    <w:rsid w:val="0081079A"/>
    <w:rsid w:val="00835AB7"/>
    <w:rsid w:val="00835F79"/>
    <w:rsid w:val="0085081B"/>
    <w:rsid w:val="00851060"/>
    <w:rsid w:val="00855C97"/>
    <w:rsid w:val="00866451"/>
    <w:rsid w:val="008A01F6"/>
    <w:rsid w:val="008B1442"/>
    <w:rsid w:val="008B620E"/>
    <w:rsid w:val="008E50FA"/>
    <w:rsid w:val="008F0950"/>
    <w:rsid w:val="009050AD"/>
    <w:rsid w:val="00925370"/>
    <w:rsid w:val="009753EC"/>
    <w:rsid w:val="009E5859"/>
    <w:rsid w:val="00A300B8"/>
    <w:rsid w:val="00A52719"/>
    <w:rsid w:val="00AA2C5F"/>
    <w:rsid w:val="00AC0285"/>
    <w:rsid w:val="00AC1D84"/>
    <w:rsid w:val="00AC7B9E"/>
    <w:rsid w:val="00B21BAC"/>
    <w:rsid w:val="00B538D3"/>
    <w:rsid w:val="00B61200"/>
    <w:rsid w:val="00B64198"/>
    <w:rsid w:val="00B70A5D"/>
    <w:rsid w:val="00B813B4"/>
    <w:rsid w:val="00B902C8"/>
    <w:rsid w:val="00B94A95"/>
    <w:rsid w:val="00BB11EA"/>
    <w:rsid w:val="00BE2359"/>
    <w:rsid w:val="00BF01AC"/>
    <w:rsid w:val="00C0096E"/>
    <w:rsid w:val="00C1049E"/>
    <w:rsid w:val="00C108A0"/>
    <w:rsid w:val="00C23724"/>
    <w:rsid w:val="00C315D9"/>
    <w:rsid w:val="00C36499"/>
    <w:rsid w:val="00C37C96"/>
    <w:rsid w:val="00C65EE5"/>
    <w:rsid w:val="00C75B07"/>
    <w:rsid w:val="00C84127"/>
    <w:rsid w:val="00C9661D"/>
    <w:rsid w:val="00C96B2C"/>
    <w:rsid w:val="00CD2E2A"/>
    <w:rsid w:val="00CF5053"/>
    <w:rsid w:val="00D22AC1"/>
    <w:rsid w:val="00D305A4"/>
    <w:rsid w:val="00D30821"/>
    <w:rsid w:val="00D6372B"/>
    <w:rsid w:val="00D70E09"/>
    <w:rsid w:val="00D775A6"/>
    <w:rsid w:val="00D97C6A"/>
    <w:rsid w:val="00DA0CF6"/>
    <w:rsid w:val="00DA3386"/>
    <w:rsid w:val="00DB34BF"/>
    <w:rsid w:val="00DD08A6"/>
    <w:rsid w:val="00DE4939"/>
    <w:rsid w:val="00E02E33"/>
    <w:rsid w:val="00E13EE4"/>
    <w:rsid w:val="00E2764E"/>
    <w:rsid w:val="00E5471C"/>
    <w:rsid w:val="00E627D2"/>
    <w:rsid w:val="00E63AFC"/>
    <w:rsid w:val="00E90B8E"/>
    <w:rsid w:val="00EB62EF"/>
    <w:rsid w:val="00EC6B6E"/>
    <w:rsid w:val="00ED1686"/>
    <w:rsid w:val="00ED4DB8"/>
    <w:rsid w:val="00ED7637"/>
    <w:rsid w:val="00F17F03"/>
    <w:rsid w:val="00F553D2"/>
    <w:rsid w:val="00F61E5A"/>
    <w:rsid w:val="00F949F3"/>
    <w:rsid w:val="00FA275F"/>
    <w:rsid w:val="00FF23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E15AA0"/>
  <w15:docId w15:val="{AD45A1FF-3B31-446D-BEA0-50F07BFE2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752B25"/>
    <w:rPr>
      <w:rFonts w:ascii="Times New Roman" w:eastAsia="Times New Roman" w:hAnsi="Times New Roman"/>
      <w:sz w:val="24"/>
      <w:szCs w:val="24"/>
      <w:lang w:val="en-US" w:eastAsia="en-US"/>
    </w:rPr>
  </w:style>
  <w:style w:type="paragraph" w:styleId="1">
    <w:name w:val="heading 1"/>
    <w:aliases w:val="h1"/>
    <w:basedOn w:val="a"/>
    <w:next w:val="a"/>
    <w:link w:val="1Char"/>
    <w:uiPriority w:val="99"/>
    <w:qFormat/>
    <w:rsid w:val="00752B25"/>
    <w:pPr>
      <w:keepNext/>
      <w:jc w:val="center"/>
      <w:outlineLvl w:val="0"/>
    </w:pPr>
    <w:rPr>
      <w:rFonts w:ascii="Arial" w:hAnsi="Arial"/>
      <w:b/>
      <w:bCs/>
      <w:lang w:val="el-GR"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1 Char"/>
    <w:basedOn w:val="a0"/>
    <w:link w:val="1"/>
    <w:uiPriority w:val="99"/>
    <w:locked/>
    <w:rsid w:val="00752B25"/>
    <w:rPr>
      <w:rFonts w:ascii="Arial" w:hAnsi="Arial"/>
      <w:b/>
      <w:sz w:val="24"/>
      <w:lang w:val="el-GR"/>
    </w:rPr>
  </w:style>
  <w:style w:type="paragraph" w:styleId="a3">
    <w:name w:val="List Paragraph"/>
    <w:basedOn w:val="a"/>
    <w:uiPriority w:val="34"/>
    <w:qFormat/>
    <w:rsid w:val="00752B25"/>
    <w:pPr>
      <w:spacing w:before="160" w:after="80"/>
      <w:ind w:left="720" w:hanging="216"/>
      <w:contextualSpacing/>
      <w:jc w:val="center"/>
    </w:pPr>
    <w:rPr>
      <w:rFonts w:ascii="Calibri" w:eastAsia="Calibri" w:hAnsi="Calibri"/>
      <w:sz w:val="22"/>
      <w:szCs w:val="22"/>
    </w:rPr>
  </w:style>
  <w:style w:type="character" w:customStyle="1" w:styleId="hps">
    <w:name w:val="hps"/>
    <w:uiPriority w:val="99"/>
    <w:rsid w:val="00752B25"/>
  </w:style>
  <w:style w:type="paragraph" w:styleId="a4">
    <w:name w:val="annotation text"/>
    <w:basedOn w:val="a"/>
    <w:link w:val="Char"/>
    <w:uiPriority w:val="99"/>
    <w:semiHidden/>
    <w:unhideWhenUsed/>
    <w:rsid w:val="00C96B2C"/>
  </w:style>
  <w:style w:type="character" w:customStyle="1" w:styleId="Char">
    <w:name w:val="Κείμενο σχολίου Char"/>
    <w:basedOn w:val="a0"/>
    <w:link w:val="a4"/>
    <w:uiPriority w:val="99"/>
    <w:semiHidden/>
    <w:rsid w:val="00C96B2C"/>
    <w:rPr>
      <w:rFonts w:ascii="Times New Roman" w:eastAsia="Times New Roman" w:hAnsi="Times New Roman"/>
      <w:sz w:val="24"/>
      <w:szCs w:val="24"/>
      <w:lang w:val="en-US" w:eastAsia="en-US"/>
    </w:rPr>
  </w:style>
  <w:style w:type="character" w:styleId="a5">
    <w:name w:val="annotation reference"/>
    <w:uiPriority w:val="99"/>
    <w:semiHidden/>
    <w:unhideWhenUsed/>
    <w:rsid w:val="00C96B2C"/>
    <w:rPr>
      <w:sz w:val="16"/>
      <w:szCs w:val="16"/>
    </w:rPr>
  </w:style>
  <w:style w:type="paragraph" w:styleId="a6">
    <w:name w:val="Balloon Text"/>
    <w:basedOn w:val="a"/>
    <w:link w:val="Char0"/>
    <w:uiPriority w:val="99"/>
    <w:semiHidden/>
    <w:unhideWhenUsed/>
    <w:rsid w:val="00C96B2C"/>
    <w:rPr>
      <w:rFonts w:ascii="Lucida Grande" w:hAnsi="Lucida Grande" w:cs="Lucida Grande"/>
      <w:sz w:val="18"/>
      <w:szCs w:val="18"/>
    </w:rPr>
  </w:style>
  <w:style w:type="character" w:customStyle="1" w:styleId="Char0">
    <w:name w:val="Κείμενο πλαισίου Char"/>
    <w:basedOn w:val="a0"/>
    <w:link w:val="a6"/>
    <w:uiPriority w:val="99"/>
    <w:semiHidden/>
    <w:rsid w:val="00C96B2C"/>
    <w:rPr>
      <w:rFonts w:ascii="Lucida Grande" w:eastAsia="Times New Roman" w:hAnsi="Lucida Grande" w:cs="Lucida Grande"/>
      <w:sz w:val="18"/>
      <w:szCs w:val="18"/>
      <w:lang w:val="en-US" w:eastAsia="en-US"/>
    </w:rPr>
  </w:style>
  <w:style w:type="character" w:styleId="-">
    <w:name w:val="Hyperlink"/>
    <w:basedOn w:val="a0"/>
    <w:uiPriority w:val="99"/>
    <w:unhideWhenUsed/>
    <w:rsid w:val="0065110D"/>
    <w:rPr>
      <w:color w:val="0000FF" w:themeColor="hyperlink"/>
      <w:u w:val="single"/>
    </w:rPr>
  </w:style>
  <w:style w:type="paragraph" w:styleId="a7">
    <w:name w:val="footnote text"/>
    <w:basedOn w:val="a"/>
    <w:link w:val="Char1"/>
    <w:uiPriority w:val="99"/>
    <w:unhideWhenUsed/>
    <w:qFormat/>
    <w:rsid w:val="0065110D"/>
  </w:style>
  <w:style w:type="character" w:customStyle="1" w:styleId="Char1">
    <w:name w:val="Κείμενο υποσημείωσης Char"/>
    <w:basedOn w:val="a0"/>
    <w:link w:val="a7"/>
    <w:uiPriority w:val="99"/>
    <w:rsid w:val="0065110D"/>
    <w:rPr>
      <w:rFonts w:ascii="Times New Roman" w:eastAsia="Times New Roman" w:hAnsi="Times New Roman"/>
      <w:sz w:val="24"/>
      <w:szCs w:val="24"/>
      <w:lang w:val="en-US" w:eastAsia="en-US"/>
    </w:rPr>
  </w:style>
  <w:style w:type="paragraph" w:customStyle="1" w:styleId="OiaeaeiYiio3">
    <w:name w:val="O?ia eaeiYiio 3"/>
    <w:basedOn w:val="a8"/>
    <w:link w:val="OiaeaeiYiio3Char"/>
    <w:uiPriority w:val="99"/>
    <w:rsid w:val="001B79FE"/>
    <w:pPr>
      <w:spacing w:after="220" w:line="220" w:lineRule="atLeast"/>
      <w:ind w:left="1440" w:right="-360"/>
    </w:pPr>
    <w:rPr>
      <w:rFonts w:ascii="Calibri" w:eastAsia="MS Mincho" w:hAnsi="Calibri"/>
      <w:sz w:val="20"/>
      <w:szCs w:val="20"/>
      <w:lang w:val="el-GR" w:eastAsia="ja-JP"/>
    </w:rPr>
  </w:style>
  <w:style w:type="character" w:customStyle="1" w:styleId="OiaeaeiYiio3Char">
    <w:name w:val="O?ia eaeiYiio 3 Char"/>
    <w:link w:val="OiaeaeiYiio3"/>
    <w:uiPriority w:val="99"/>
    <w:locked/>
    <w:rsid w:val="001B79FE"/>
    <w:rPr>
      <w:rFonts w:eastAsia="MS Mincho"/>
      <w:sz w:val="20"/>
      <w:szCs w:val="20"/>
      <w:lang w:val="el-GR" w:eastAsia="ja-JP"/>
    </w:rPr>
  </w:style>
  <w:style w:type="paragraph" w:styleId="a8">
    <w:name w:val="Body Text Indent"/>
    <w:basedOn w:val="a"/>
    <w:link w:val="Char2"/>
    <w:uiPriority w:val="99"/>
    <w:semiHidden/>
    <w:unhideWhenUsed/>
    <w:rsid w:val="001B79FE"/>
    <w:pPr>
      <w:spacing w:after="120"/>
      <w:ind w:left="283"/>
    </w:pPr>
  </w:style>
  <w:style w:type="character" w:customStyle="1" w:styleId="Char2">
    <w:name w:val="Σώμα κείμενου με εσοχή Char"/>
    <w:basedOn w:val="a0"/>
    <w:link w:val="a8"/>
    <w:uiPriority w:val="99"/>
    <w:semiHidden/>
    <w:rsid w:val="001B79FE"/>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87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c.europa.eu/competition/mergers/legislation/notices_on_substance.html" TargetMode="External"/><Relationship Id="rId5" Type="http://schemas.openxmlformats.org/officeDocument/2006/relationships/hyperlink" Target="http://eur-lex.europa.eu/LexUriServ/LexUriServ.do?uri=OJ:C:2008:095:0001:0048:E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454</Words>
  <Characters>2455</Characters>
  <Application>Microsoft Office Word</Application>
  <DocSecurity>0</DocSecurity>
  <Lines>20</Lines>
  <Paragraphs>5</Paragraphs>
  <ScaleCrop>false</ScaleCrop>
  <HeadingPairs>
    <vt:vector size="6" baseType="variant">
      <vt:variant>
        <vt:lpstr>Τίτλος</vt:lpstr>
      </vt:variant>
      <vt:variant>
        <vt:i4>1</vt:i4>
      </vt:variant>
      <vt:variant>
        <vt:lpstr>Title</vt:lpstr>
      </vt:variant>
      <vt:variant>
        <vt:i4>1</vt:i4>
      </vt:variant>
      <vt:variant>
        <vt:lpstr>Titolo</vt:lpstr>
      </vt:variant>
      <vt:variant>
        <vt:i4>1</vt:i4>
      </vt:variant>
    </vt:vector>
  </HeadingPairs>
  <TitlesOfParts>
    <vt:vector size="3" baseType="lpstr">
      <vt:lpstr>Course title</vt:lpstr>
      <vt:lpstr>Course title</vt:lpstr>
      <vt:lpstr>Course title</vt:lpstr>
    </vt:vector>
  </TitlesOfParts>
  <Company>European University Cyprus</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dc:title>
  <dc:creator>S. P. Nath</dc:creator>
  <cp:lastModifiedBy>Dimitris</cp:lastModifiedBy>
  <cp:revision>3</cp:revision>
  <cp:lastPrinted>2015-02-18T11:13:00Z</cp:lastPrinted>
  <dcterms:created xsi:type="dcterms:W3CDTF">2017-06-10T10:27:00Z</dcterms:created>
  <dcterms:modified xsi:type="dcterms:W3CDTF">2017-06-10T11:12:00Z</dcterms:modified>
</cp:coreProperties>
</file>