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86" w:rsidRDefault="00ED1686" w:rsidP="00ED1686"/>
    <w:tbl>
      <w:tblPr>
        <w:tblpPr w:leftFromText="180" w:rightFromText="180" w:vertAnchor="page" w:horzAnchor="margin" w:tblpXSpec="center" w:tblpY="1426"/>
        <w:tblW w:w="9926" w:type="dxa"/>
        <w:tblLayout w:type="fixed"/>
        <w:tblLook w:val="01E0" w:firstRow="1" w:lastRow="1" w:firstColumn="1" w:lastColumn="1" w:noHBand="0" w:noVBand="0"/>
      </w:tblPr>
      <w:tblGrid>
        <w:gridCol w:w="2835"/>
        <w:gridCol w:w="6793"/>
        <w:gridCol w:w="298"/>
      </w:tblGrid>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6D13FB" w:rsidRDefault="006D13FB" w:rsidP="00ED1686">
            <w:pPr>
              <w:pStyle w:val="1"/>
              <w:jc w:val="both"/>
              <w:rPr>
                <w:rFonts w:cs="Arial"/>
                <w:i/>
                <w:lang w:val="en-US" w:eastAsia="en-US"/>
              </w:rPr>
            </w:pPr>
            <w:r w:rsidRPr="006D13FB">
              <w:rPr>
                <w:rFonts w:cs="Arial"/>
                <w:i/>
                <w:sz w:val="22"/>
                <w:lang w:val="en-US"/>
              </w:rPr>
              <w:t>Problems and Strategies of claimants and defendants – the point of view of the legal counsel</w:t>
            </w: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6E11EB">
            <w:pPr>
              <w:rPr>
                <w:rFonts w:ascii="Arial" w:hAnsi="Arial" w:cs="Arial"/>
                <w:b/>
                <w:lang w:val="en-GB"/>
              </w:rPr>
            </w:pPr>
            <w:r w:rsidRPr="00ED1686">
              <w:rPr>
                <w:rFonts w:ascii="Arial" w:hAnsi="Arial" w:cs="Arial"/>
                <w:b/>
                <w:sz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6D13FB" w:rsidRDefault="006D13FB" w:rsidP="00ED1686">
            <w:pPr>
              <w:rPr>
                <w:rFonts w:ascii="Arial" w:hAnsi="Arial" w:cs="Arial"/>
              </w:rPr>
            </w:pPr>
            <w:r w:rsidRPr="006D13FB">
              <w:rPr>
                <w:rFonts w:ascii="Arial" w:hAnsi="Arial" w:cs="Arial"/>
                <w:sz w:val="22"/>
              </w:rPr>
              <w:t>Friday, 23</w:t>
            </w:r>
            <w:r w:rsidRPr="006D13FB">
              <w:rPr>
                <w:rFonts w:ascii="Arial" w:hAnsi="Arial" w:cs="Arial"/>
                <w:sz w:val="22"/>
                <w:vertAlign w:val="superscript"/>
              </w:rPr>
              <w:t>rd</w:t>
            </w:r>
            <w:r w:rsidRPr="006D13FB">
              <w:rPr>
                <w:rFonts w:ascii="Arial" w:hAnsi="Arial" w:cs="Arial"/>
                <w:sz w:val="22"/>
              </w:rPr>
              <w:t xml:space="preserve"> June 2017</w:t>
            </w:r>
          </w:p>
        </w:tc>
      </w:tr>
      <w:tr w:rsidR="00ED1686" w:rsidRPr="00521F0E"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6D13FB" w:rsidRDefault="006D13FB" w:rsidP="00B43D94">
            <w:pPr>
              <w:rPr>
                <w:rFonts w:ascii="Arial" w:hAnsi="Arial" w:cs="Arial"/>
                <w:lang w:val="en-GB"/>
              </w:rPr>
            </w:pPr>
            <w:r w:rsidRPr="006D13FB">
              <w:rPr>
                <w:rFonts w:ascii="Arial" w:hAnsi="Arial" w:cs="Arial"/>
                <w:sz w:val="22"/>
                <w:lang w:val="en-GB"/>
              </w:rPr>
              <w:t xml:space="preserve">Dr. </w:t>
            </w:r>
            <w:r w:rsidRPr="006D13FB">
              <w:rPr>
                <w:rFonts w:ascii="Arial" w:hAnsi="Arial" w:cs="Arial"/>
                <w:sz w:val="22"/>
              </w:rPr>
              <w:t xml:space="preserve"> Vassilis Karagiannis,  </w:t>
            </w:r>
            <w:r w:rsidR="00B43D94">
              <w:rPr>
                <w:rFonts w:ascii="Arial" w:hAnsi="Arial" w:cs="Arial"/>
                <w:sz w:val="22"/>
              </w:rPr>
              <w:t>Lecturer (PD 407/80) of European Law</w:t>
            </w:r>
            <w:r w:rsidRPr="006D13FB">
              <w:rPr>
                <w:rFonts w:ascii="Arial" w:hAnsi="Arial" w:cs="Arial"/>
                <w:sz w:val="22"/>
              </w:rPr>
              <w:t xml:space="preserve"> at the </w:t>
            </w:r>
            <w:r w:rsidR="00B43D94">
              <w:rPr>
                <w:rFonts w:ascii="Arial" w:hAnsi="Arial" w:cs="Arial"/>
                <w:sz w:val="22"/>
              </w:rPr>
              <w:t>Department</w:t>
            </w:r>
            <w:r w:rsidRPr="006D13FB">
              <w:rPr>
                <w:rFonts w:ascii="Arial" w:hAnsi="Arial" w:cs="Arial"/>
                <w:sz w:val="22"/>
              </w:rPr>
              <w:t xml:space="preserve"> of International, European and Regional Studies of Panteion University of Athens and </w:t>
            </w:r>
            <w:r w:rsidR="00B43D94">
              <w:rPr>
                <w:rFonts w:ascii="Arial" w:hAnsi="Arial" w:cs="Arial"/>
                <w:sz w:val="22"/>
              </w:rPr>
              <w:t>Partner</w:t>
            </w:r>
            <w:r w:rsidRPr="006D13FB">
              <w:rPr>
                <w:rFonts w:ascii="Arial" w:hAnsi="Arial" w:cs="Arial"/>
                <w:sz w:val="22"/>
              </w:rPr>
              <w:t xml:space="preserve"> of KLC Law Firm</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lang w:val="en-GB"/>
              </w:rPr>
            </w:pPr>
            <w:r w:rsidRPr="00ED1686">
              <w:rPr>
                <w:rFonts w:ascii="Arial" w:hAnsi="Arial" w:cs="Arial"/>
                <w:b/>
                <w:sz w:val="22"/>
                <w:lang w:val="en-GB"/>
              </w:rPr>
              <w:t>Module description</w:t>
            </w:r>
          </w:p>
        </w:tc>
      </w:tr>
      <w:tr w:rsidR="00ED1686" w:rsidRPr="00564D9B"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Default="00B43D94" w:rsidP="00ED1686">
            <w:pPr>
              <w:spacing w:before="120" w:after="120"/>
              <w:jc w:val="both"/>
              <w:rPr>
                <w:rFonts w:ascii="Arial" w:hAnsi="Arial" w:cs="Arial"/>
                <w:lang w:val="en-GB"/>
              </w:rPr>
            </w:pPr>
            <w:r>
              <w:rPr>
                <w:rFonts w:ascii="Arial" w:hAnsi="Arial" w:cs="Arial"/>
                <w:lang w:val="en-GB"/>
              </w:rPr>
              <w:t xml:space="preserve">The module deals with the problems and strategies on the side of plaintiffs and defendants in a case of an action for damages for breach of competition law rules. The module focuses on the particularities of such judicial procedures in the current state of play of the process of transposition of the EU directive 2014/104 in the Greek legal order  </w:t>
            </w:r>
          </w:p>
          <w:p w:rsidR="005237D1" w:rsidRPr="006E11EB" w:rsidRDefault="005237D1" w:rsidP="00ED1686">
            <w:pPr>
              <w:spacing w:before="120" w:after="120"/>
              <w:jc w:val="both"/>
              <w:rPr>
                <w:rFonts w:ascii="Arial" w:hAnsi="Arial" w:cs="Arial"/>
                <w:lang w:val="en-GB"/>
              </w:rPr>
            </w:pPr>
          </w:p>
          <w:p w:rsidR="005237D1" w:rsidRDefault="005237D1" w:rsidP="00ED1686">
            <w:pPr>
              <w:spacing w:before="120" w:after="120"/>
              <w:jc w:val="both"/>
              <w:rPr>
                <w:rFonts w:ascii="Arial" w:hAnsi="Arial" w:cs="Arial"/>
                <w:lang w:val="en-GB"/>
              </w:rPr>
            </w:pPr>
          </w:p>
          <w:p w:rsidR="005237D1" w:rsidRPr="002D403D" w:rsidRDefault="005237D1" w:rsidP="00ED1686">
            <w:pPr>
              <w:spacing w:before="120" w:after="120"/>
              <w:jc w:val="both"/>
              <w:rPr>
                <w:rFonts w:ascii="Arial" w:hAnsi="Arial" w:cs="Arial"/>
                <w:lang w:val="en-GB"/>
              </w:rPr>
            </w:pP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rPr>
            </w:pPr>
            <w:r w:rsidRPr="00ED1686">
              <w:rPr>
                <w:rFonts w:ascii="Arial" w:hAnsi="Arial" w:cs="Arial"/>
                <w:b/>
                <w:sz w:val="22"/>
                <w:lang w:val="en-GB"/>
              </w:rPr>
              <w:t>Training outcomes</w:t>
            </w:r>
          </w:p>
        </w:tc>
      </w:tr>
      <w:tr w:rsidR="00ED1686" w:rsidRPr="00564D9B"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Default="00B43D94" w:rsidP="00ED1686">
            <w:pPr>
              <w:spacing w:before="120" w:after="120"/>
              <w:jc w:val="both"/>
              <w:rPr>
                <w:rFonts w:ascii="Arial" w:hAnsi="Arial" w:cs="Arial"/>
                <w:noProof/>
              </w:rPr>
            </w:pPr>
            <w:r>
              <w:rPr>
                <w:rFonts w:ascii="Arial" w:hAnsi="Arial" w:cs="Arial"/>
                <w:noProof/>
              </w:rPr>
              <w:t xml:space="preserve">The main objective of the module is to focus to the particularities of the competition law actions for damages seen from th perspective of the lawyer pleading from the side of the plaintiff or the defendant. The main areas are explored : the notifications facilities established by the directive 2014/104/EU, </w:t>
            </w:r>
            <w:r w:rsidR="00D62E9C">
              <w:rPr>
                <w:rFonts w:ascii="Arial" w:hAnsi="Arial" w:cs="Arial"/>
                <w:noProof/>
              </w:rPr>
              <w:t xml:space="preserve">the question of passing on and the </w:t>
            </w:r>
            <w:r w:rsidR="00FE5686">
              <w:rPr>
                <w:rFonts w:ascii="Arial" w:hAnsi="Arial" w:cs="Arial"/>
                <w:noProof/>
              </w:rPr>
              <w:t xml:space="preserve">issue of quantification. </w:t>
            </w:r>
          </w:p>
          <w:p w:rsidR="005237D1" w:rsidRPr="006E11EB" w:rsidRDefault="005237D1" w:rsidP="00ED1686">
            <w:pPr>
              <w:spacing w:before="120" w:after="120"/>
              <w:jc w:val="both"/>
              <w:rPr>
                <w:rFonts w:ascii="Arial" w:hAnsi="Arial" w:cs="Arial"/>
                <w:noProof/>
              </w:rPr>
            </w:pPr>
          </w:p>
          <w:p w:rsidR="005237D1" w:rsidRDefault="005237D1" w:rsidP="00ED1686">
            <w:pPr>
              <w:spacing w:before="120" w:after="120"/>
              <w:jc w:val="both"/>
              <w:rPr>
                <w:rFonts w:ascii="Arial" w:hAnsi="Arial" w:cs="Arial"/>
                <w:noProof/>
              </w:rPr>
            </w:pPr>
          </w:p>
          <w:p w:rsidR="005237D1" w:rsidRPr="002D403D" w:rsidRDefault="005237D1" w:rsidP="00ED1686">
            <w:pPr>
              <w:spacing w:before="120" w:after="120"/>
              <w:jc w:val="both"/>
              <w:rPr>
                <w:rFonts w:ascii="Arial" w:hAnsi="Arial" w:cs="Arial"/>
                <w:noProof/>
              </w:rPr>
            </w:pPr>
            <w:bookmarkStart w:id="0" w:name="_GoBack"/>
            <w:bookmarkEnd w:id="0"/>
          </w:p>
        </w:tc>
      </w:tr>
      <w:tr w:rsidR="00ED1686" w:rsidRPr="00FB27EC"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r w:rsidRPr="00ED1686">
              <w:rPr>
                <w:rFonts w:ascii="Arial" w:hAnsi="Arial" w:cs="Arial"/>
                <w:b/>
                <w:sz w:val="22"/>
                <w:lang w:val="en-GB"/>
              </w:rPr>
              <w:t>Training materials/bibliography</w:t>
            </w:r>
          </w:p>
          <w:p w:rsidR="00ED1686" w:rsidRPr="00ED1686" w:rsidRDefault="00ED1686" w:rsidP="00ED1686">
            <w:pPr>
              <w:rPr>
                <w:rFonts w:ascii="Arial" w:hAnsi="Arial" w:cs="Arial"/>
                <w:b/>
              </w:rPr>
            </w:pPr>
          </w:p>
          <w:p w:rsidR="00ED1686" w:rsidRPr="00ED1686"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Default="007A10FF" w:rsidP="00ED1686">
            <w:pPr>
              <w:spacing w:after="100"/>
              <w:jc w:val="both"/>
              <w:rPr>
                <w:rFonts w:ascii="Arial" w:hAnsi="Arial" w:cs="Arial"/>
                <w:lang w:val="pt-BR"/>
              </w:rPr>
            </w:pPr>
            <w:r>
              <w:rPr>
                <w:rFonts w:ascii="Arial" w:hAnsi="Arial" w:cs="Arial"/>
                <w:lang w:val="pt-BR"/>
              </w:rPr>
              <w:t xml:space="preserve">- </w:t>
            </w:r>
            <w:r w:rsidR="00FE5686">
              <w:rPr>
                <w:rFonts w:ascii="Arial" w:hAnsi="Arial" w:cs="Arial"/>
                <w:lang w:val="pt-BR"/>
              </w:rPr>
              <w:t xml:space="preserve">Lia Athanassiou in </w:t>
            </w:r>
            <w:r w:rsidR="00336C4D">
              <w:rPr>
                <w:rFonts w:ascii="Arial" w:hAnsi="Arial" w:cs="Arial"/>
                <w:lang w:val="pt-BR"/>
              </w:rPr>
              <w:t>“</w:t>
            </w:r>
            <w:r w:rsidR="00FE5686">
              <w:rPr>
                <w:rFonts w:ascii="Arial" w:hAnsi="Arial" w:cs="Arial"/>
                <w:lang w:val="pt-BR"/>
              </w:rPr>
              <w:t>Law of Free Competition</w:t>
            </w:r>
            <w:r w:rsidR="00336C4D">
              <w:rPr>
                <w:rFonts w:ascii="Arial" w:hAnsi="Arial" w:cs="Arial"/>
                <w:lang w:val="pt-BR"/>
              </w:rPr>
              <w:t>”</w:t>
            </w:r>
            <w:r w:rsidR="00FE5686">
              <w:rPr>
                <w:rFonts w:ascii="Arial" w:hAnsi="Arial" w:cs="Arial"/>
                <w:lang w:val="pt-BR"/>
              </w:rPr>
              <w:t xml:space="preserve"> (Dir. D. Tzouganatos), Athens 2013 (in Greek), </w:t>
            </w:r>
            <w:r w:rsidR="00FE5686" w:rsidRPr="00336C4D">
              <w:rPr>
                <w:rFonts w:ascii="Arial" w:hAnsi="Arial" w:cs="Arial"/>
                <w:b/>
                <w:lang w:val="pt-BR"/>
              </w:rPr>
              <w:t>§ 24</w:t>
            </w:r>
          </w:p>
          <w:p w:rsidR="00FB27EC" w:rsidRPr="00FB27EC" w:rsidRDefault="00FB27EC" w:rsidP="00ED1686">
            <w:pPr>
              <w:spacing w:after="100"/>
              <w:jc w:val="both"/>
              <w:rPr>
                <w:rFonts w:ascii="Arial" w:hAnsi="Arial" w:cs="Arial"/>
              </w:rPr>
            </w:pPr>
            <w:r w:rsidRPr="00FB27EC">
              <w:rPr>
                <w:rFonts w:ascii="Arial" w:hAnsi="Arial" w:cs="Arial"/>
              </w:rPr>
              <w:t xml:space="preserve">- </w:t>
            </w:r>
            <w:r>
              <w:t xml:space="preserve"> </w:t>
            </w:r>
            <w:r w:rsidRPr="00FB27EC">
              <w:rPr>
                <w:rFonts w:ascii="Arial" w:hAnsi="Arial" w:cs="Arial"/>
                <w:lang w:val="el-GR"/>
              </w:rPr>
              <w:t>ΟΔΗΓΙΑ</w:t>
            </w:r>
            <w:r w:rsidRPr="00FB27EC">
              <w:rPr>
                <w:rFonts w:ascii="Arial" w:hAnsi="Arial" w:cs="Arial"/>
              </w:rPr>
              <w:t>_2014_104_</w:t>
            </w:r>
            <w:r w:rsidRPr="00FB27EC">
              <w:rPr>
                <w:rFonts w:ascii="Arial" w:hAnsi="Arial" w:cs="Arial"/>
                <w:lang w:val="el-GR"/>
              </w:rPr>
              <w:t>ΕΕ</w:t>
            </w:r>
            <w:r w:rsidRPr="00FB27EC">
              <w:rPr>
                <w:rFonts w:ascii="Arial" w:hAnsi="Arial" w:cs="Arial"/>
              </w:rPr>
              <w:t xml:space="preserve"> (</w:t>
            </w:r>
            <w:r>
              <w:rPr>
                <w:rFonts w:ascii="Arial" w:hAnsi="Arial" w:cs="Arial"/>
              </w:rPr>
              <w:t>available in DGComp’s website)</w:t>
            </w:r>
          </w:p>
          <w:p w:rsidR="00FE5686" w:rsidRPr="00FB27EC" w:rsidRDefault="00FE5686" w:rsidP="00ED1686">
            <w:pPr>
              <w:spacing w:after="100"/>
              <w:jc w:val="both"/>
              <w:rPr>
                <w:rFonts w:ascii="Arial" w:hAnsi="Arial" w:cs="Arial"/>
                <w:lang w:val="fr-BE"/>
              </w:rPr>
            </w:pPr>
            <w:r w:rsidRPr="00FB27EC">
              <w:rPr>
                <w:rFonts w:ascii="Arial" w:hAnsi="Arial" w:cs="Arial"/>
                <w:lang w:val="fr-BE"/>
              </w:rPr>
              <w:t xml:space="preserve">- </w:t>
            </w:r>
            <w:r w:rsidR="00FB27EC" w:rsidRPr="00FB27EC">
              <w:rPr>
                <w:lang w:val="fr-BE"/>
              </w:rPr>
              <w:t xml:space="preserve"> </w:t>
            </w:r>
            <w:r w:rsidR="00FB27EC" w:rsidRPr="00FB27EC">
              <w:rPr>
                <w:rFonts w:ascii="Arial" w:hAnsi="Arial" w:cs="Arial"/>
                <w:lang w:val="fr-BE"/>
              </w:rPr>
              <w:t>FAQ_MEMO-13-531_EN</w:t>
            </w:r>
            <w:r w:rsidR="00FB27EC">
              <w:rPr>
                <w:rFonts w:ascii="Arial" w:hAnsi="Arial" w:cs="Arial"/>
                <w:lang w:val="fr-BE"/>
              </w:rPr>
              <w:t xml:space="preserve"> </w:t>
            </w:r>
            <w:r w:rsidR="00FB27EC" w:rsidRPr="00FB27EC">
              <w:rPr>
                <w:rFonts w:ascii="Arial" w:hAnsi="Arial" w:cs="Arial"/>
                <w:lang w:val="fr-BE"/>
              </w:rPr>
              <w:t>(available in DGComp’s website)</w:t>
            </w:r>
          </w:p>
          <w:p w:rsidR="00FB27EC" w:rsidRPr="00FB27EC" w:rsidRDefault="00FB27EC" w:rsidP="00FB27EC">
            <w:pPr>
              <w:spacing w:after="100"/>
              <w:jc w:val="both"/>
              <w:rPr>
                <w:rFonts w:ascii="Arial" w:hAnsi="Arial" w:cs="Arial"/>
                <w:lang w:val="fr-BE"/>
              </w:rPr>
            </w:pPr>
            <w:r w:rsidRPr="00FB27EC">
              <w:rPr>
                <w:rFonts w:ascii="Arial" w:hAnsi="Arial" w:cs="Arial"/>
                <w:lang w:val="fr-BE"/>
              </w:rPr>
              <w:t xml:space="preserve">- </w:t>
            </w:r>
            <w:r w:rsidRPr="00FB27EC">
              <w:rPr>
                <w:lang w:val="fr-BE"/>
              </w:rPr>
              <w:t xml:space="preserve"> </w:t>
            </w:r>
            <w:r w:rsidRPr="00FB27EC">
              <w:rPr>
                <w:rFonts w:ascii="Arial" w:hAnsi="Arial" w:cs="Arial"/>
                <w:lang w:val="fr-BE"/>
              </w:rPr>
              <w:t>quantification_guide_el</w:t>
            </w:r>
            <w:r>
              <w:rPr>
                <w:rFonts w:ascii="Arial" w:hAnsi="Arial" w:cs="Arial"/>
                <w:lang w:val="fr-BE"/>
              </w:rPr>
              <w:t xml:space="preserve"> </w:t>
            </w:r>
            <w:r w:rsidRPr="00FB27EC">
              <w:rPr>
                <w:rFonts w:ascii="Arial" w:hAnsi="Arial" w:cs="Arial"/>
                <w:lang w:val="fr-BE"/>
              </w:rPr>
              <w:t>(available in DGComp’s website)</w:t>
            </w:r>
          </w:p>
          <w:p w:rsidR="00FB27EC" w:rsidRPr="00FB27EC" w:rsidRDefault="00FB27EC" w:rsidP="00ED1686">
            <w:pPr>
              <w:spacing w:after="100"/>
              <w:jc w:val="both"/>
              <w:rPr>
                <w:rFonts w:ascii="Arial" w:hAnsi="Arial" w:cs="Arial"/>
                <w:lang w:val="fr-BE"/>
              </w:rPr>
            </w:pPr>
            <w:r>
              <w:rPr>
                <w:rFonts w:ascii="Arial" w:hAnsi="Arial" w:cs="Arial"/>
                <w:lang w:val="fr-BE"/>
              </w:rPr>
              <w:t xml:space="preserve">- </w:t>
            </w:r>
            <w:r w:rsidRPr="00FB27EC">
              <w:rPr>
                <w:rFonts w:ascii="Arial" w:hAnsi="Arial" w:cs="Arial"/>
                <w:lang w:val="el-GR"/>
              </w:rPr>
              <w:t>ΑΝΑΚΟΙΝΩΣΗ</w:t>
            </w:r>
            <w:r w:rsidRPr="00FB27EC">
              <w:rPr>
                <w:rFonts w:ascii="Arial" w:hAnsi="Arial" w:cs="Arial"/>
                <w:lang w:val="fr-BE"/>
              </w:rPr>
              <w:t xml:space="preserve"> </w:t>
            </w:r>
            <w:r w:rsidRPr="00FB27EC">
              <w:rPr>
                <w:rFonts w:ascii="Arial" w:hAnsi="Arial" w:cs="Arial"/>
                <w:lang w:val="el-GR"/>
              </w:rPr>
              <w:t>ΕΕ</w:t>
            </w:r>
            <w:r w:rsidRPr="00FB27EC">
              <w:rPr>
                <w:rFonts w:ascii="Arial" w:hAnsi="Arial" w:cs="Arial"/>
                <w:lang w:val="fr-BE"/>
              </w:rPr>
              <w:t>_</w:t>
            </w:r>
            <w:r w:rsidRPr="00FB27EC">
              <w:rPr>
                <w:rFonts w:ascii="Arial" w:hAnsi="Arial" w:cs="Arial"/>
                <w:lang w:val="el-GR"/>
              </w:rPr>
              <w:t>ΠΟΣΟΤΙΚΟΠΟΙΗΣΗ</w:t>
            </w:r>
            <w:r w:rsidRPr="00FB27EC">
              <w:rPr>
                <w:rFonts w:ascii="Arial" w:hAnsi="Arial" w:cs="Arial"/>
                <w:lang w:val="fr-BE"/>
              </w:rPr>
              <w:t xml:space="preserve"> </w:t>
            </w:r>
            <w:r w:rsidRPr="00FB27EC">
              <w:rPr>
                <w:rFonts w:ascii="Arial" w:hAnsi="Arial" w:cs="Arial"/>
                <w:lang w:val="fr-BE"/>
              </w:rPr>
              <w:t xml:space="preserve">(available in </w:t>
            </w:r>
            <w:r>
              <w:rPr>
                <w:rFonts w:ascii="Arial" w:hAnsi="Arial" w:cs="Arial"/>
                <w:lang w:val="fr-BE"/>
              </w:rPr>
              <w:t xml:space="preserve">   </w:t>
            </w:r>
            <w:r w:rsidRPr="00FB27EC">
              <w:rPr>
                <w:rFonts w:ascii="Arial" w:hAnsi="Arial" w:cs="Arial"/>
                <w:lang w:val="fr-BE"/>
              </w:rPr>
              <w:t>DGComp’s website)</w:t>
            </w:r>
          </w:p>
          <w:p w:rsidR="00FE5686" w:rsidRPr="00FE5686" w:rsidRDefault="00FE5686" w:rsidP="00ED1686">
            <w:pPr>
              <w:spacing w:after="100"/>
              <w:jc w:val="both"/>
              <w:rPr>
                <w:rFonts w:ascii="Arial" w:hAnsi="Arial" w:cs="Arial"/>
                <w:lang w:val="pt-BR"/>
              </w:rPr>
            </w:pPr>
          </w:p>
        </w:tc>
      </w:tr>
      <w:tr w:rsidR="00ED1686" w:rsidRPr="00AC0285"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ED1686" w:rsidRPr="00ED1686" w:rsidRDefault="00ED1686" w:rsidP="00ED1686">
            <w:pPr>
              <w:rPr>
                <w:rFonts w:ascii="Arial" w:hAnsi="Arial" w:cs="Arial"/>
                <w:b/>
                <w:lang w:val="en-GB"/>
              </w:rPr>
            </w:pPr>
            <w:r w:rsidRPr="00ED1686">
              <w:rPr>
                <w:rFonts w:ascii="Arial" w:hAnsi="Arial" w:cs="Arial"/>
                <w:b/>
                <w:sz w:val="22"/>
                <w:lang w:val="en-GB"/>
              </w:rPr>
              <w:t>Teaching Methodology</w:t>
            </w:r>
          </w:p>
          <w:p w:rsidR="00ED1686" w:rsidRPr="006D13FB" w:rsidRDefault="00ED1686" w:rsidP="00ED1686">
            <w:pPr>
              <w:rPr>
                <w:rFonts w:ascii="Arial" w:hAnsi="Arial" w:cs="Arial"/>
                <w:b/>
              </w:rPr>
            </w:pPr>
          </w:p>
        </w:tc>
        <w:tc>
          <w:tcPr>
            <w:tcW w:w="6793" w:type="dxa"/>
            <w:tcBorders>
              <w:top w:val="single" w:sz="4" w:space="0" w:color="auto"/>
              <w:left w:val="single" w:sz="4" w:space="0" w:color="auto"/>
              <w:bottom w:val="single" w:sz="4" w:space="0" w:color="auto"/>
            </w:tcBorders>
            <w:vAlign w:val="center"/>
          </w:tcPr>
          <w:p w:rsidR="005237D1" w:rsidRPr="006E11EB" w:rsidRDefault="007A10FF" w:rsidP="00ED1686">
            <w:pPr>
              <w:rPr>
                <w:rFonts w:ascii="Arial" w:hAnsi="Arial" w:cs="Arial"/>
                <w:color w:val="FF0000"/>
                <w:lang w:val="en-GB"/>
              </w:rPr>
            </w:pPr>
            <w:r>
              <w:rPr>
                <w:rFonts w:ascii="Arial" w:hAnsi="Arial" w:cs="Arial"/>
                <w:i/>
                <w:lang w:val="en-GB"/>
              </w:rPr>
              <w:t>Slides – presentation/ analysis of legislation / case studies</w:t>
            </w:r>
          </w:p>
        </w:tc>
        <w:tc>
          <w:tcPr>
            <w:tcW w:w="298" w:type="dxa"/>
            <w:tcBorders>
              <w:top w:val="single" w:sz="4" w:space="0" w:color="auto"/>
              <w:left w:val="nil"/>
              <w:bottom w:val="single" w:sz="4" w:space="0" w:color="auto"/>
              <w:right w:val="single" w:sz="4" w:space="0" w:color="auto"/>
            </w:tcBorders>
            <w:vAlign w:val="center"/>
          </w:tcPr>
          <w:p w:rsidR="00ED1686" w:rsidRPr="002D403D" w:rsidRDefault="00ED1686" w:rsidP="00ED1686">
            <w:pPr>
              <w:rPr>
                <w:rFonts w:ascii="Arial" w:hAnsi="Arial" w:cs="Arial"/>
                <w:lang w:val="en-GB"/>
              </w:rPr>
            </w:pP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rPr>
            </w:pPr>
            <w:r w:rsidRPr="00ED1686">
              <w:rPr>
                <w:rFonts w:ascii="Arial" w:hAnsi="Arial" w:cs="Arial"/>
                <w:b/>
                <w:sz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6E11EB" w:rsidRDefault="006E11EB" w:rsidP="00ED1686">
            <w:pPr>
              <w:rPr>
                <w:rFonts w:ascii="Arial" w:hAnsi="Arial" w:cs="Arial"/>
                <w:lang w:val="en-GB"/>
              </w:rPr>
            </w:pPr>
            <w:r>
              <w:rPr>
                <w:rFonts w:ascii="Arial" w:hAnsi="Arial" w:cs="Arial"/>
                <w:sz w:val="22"/>
                <w:lang w:val="en-GB"/>
              </w:rPr>
              <w:t>Greek</w:t>
            </w:r>
          </w:p>
        </w:tc>
      </w:tr>
    </w:tbl>
    <w:p w:rsidR="00B902C8" w:rsidRPr="00ED1686" w:rsidRDefault="00B902C8" w:rsidP="00ED1686"/>
    <w:sectPr w:rsidR="00B902C8" w:rsidRPr="00ED1686" w:rsidSect="00625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characterSpacingControl w:val="doNotCompress"/>
  <w:savePreviewPicture/>
  <w:compat>
    <w:compatSetting w:name="compatibilityMode" w:uri="http://schemas.microsoft.com/office/word" w:val="12"/>
  </w:compat>
  <w:rsids>
    <w:rsidRoot w:val="00752B25"/>
    <w:rsid w:val="00024C21"/>
    <w:rsid w:val="00094DB0"/>
    <w:rsid w:val="00096C44"/>
    <w:rsid w:val="000C3F1B"/>
    <w:rsid w:val="000C7640"/>
    <w:rsid w:val="00110E06"/>
    <w:rsid w:val="00134F21"/>
    <w:rsid w:val="001610DC"/>
    <w:rsid w:val="001652EF"/>
    <w:rsid w:val="00181762"/>
    <w:rsid w:val="00194A5D"/>
    <w:rsid w:val="001B647A"/>
    <w:rsid w:val="001C2D8A"/>
    <w:rsid w:val="001F33EE"/>
    <w:rsid w:val="00236157"/>
    <w:rsid w:val="00281020"/>
    <w:rsid w:val="00290CFC"/>
    <w:rsid w:val="00292144"/>
    <w:rsid w:val="002A702C"/>
    <w:rsid w:val="002D403D"/>
    <w:rsid w:val="002D5F97"/>
    <w:rsid w:val="002E7470"/>
    <w:rsid w:val="00330813"/>
    <w:rsid w:val="00335917"/>
    <w:rsid w:val="00336C4D"/>
    <w:rsid w:val="00343FEB"/>
    <w:rsid w:val="00344E1D"/>
    <w:rsid w:val="0035497D"/>
    <w:rsid w:val="00362B22"/>
    <w:rsid w:val="0038536B"/>
    <w:rsid w:val="00392AA1"/>
    <w:rsid w:val="003E4613"/>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B06A8"/>
    <w:rsid w:val="005B5970"/>
    <w:rsid w:val="005C010B"/>
    <w:rsid w:val="005D3B70"/>
    <w:rsid w:val="005E6B20"/>
    <w:rsid w:val="00601BA3"/>
    <w:rsid w:val="00625839"/>
    <w:rsid w:val="00650997"/>
    <w:rsid w:val="0065110D"/>
    <w:rsid w:val="00664E7A"/>
    <w:rsid w:val="00694C61"/>
    <w:rsid w:val="006A493C"/>
    <w:rsid w:val="006C12DB"/>
    <w:rsid w:val="006C67D4"/>
    <w:rsid w:val="006D13FB"/>
    <w:rsid w:val="006D1521"/>
    <w:rsid w:val="006E11EB"/>
    <w:rsid w:val="007024ED"/>
    <w:rsid w:val="007065BE"/>
    <w:rsid w:val="007410D0"/>
    <w:rsid w:val="00742517"/>
    <w:rsid w:val="007520A5"/>
    <w:rsid w:val="00752B25"/>
    <w:rsid w:val="00756F93"/>
    <w:rsid w:val="00761566"/>
    <w:rsid w:val="00777ED5"/>
    <w:rsid w:val="00797CDA"/>
    <w:rsid w:val="007A10FF"/>
    <w:rsid w:val="007D4DC0"/>
    <w:rsid w:val="007E1FA2"/>
    <w:rsid w:val="007F2457"/>
    <w:rsid w:val="0081079A"/>
    <w:rsid w:val="00835AB7"/>
    <w:rsid w:val="00835F79"/>
    <w:rsid w:val="0085081B"/>
    <w:rsid w:val="00851060"/>
    <w:rsid w:val="00855C97"/>
    <w:rsid w:val="00866451"/>
    <w:rsid w:val="008A01F6"/>
    <w:rsid w:val="008B1442"/>
    <w:rsid w:val="008B620E"/>
    <w:rsid w:val="008E50FA"/>
    <w:rsid w:val="008F0950"/>
    <w:rsid w:val="009050AD"/>
    <w:rsid w:val="00925370"/>
    <w:rsid w:val="009753EC"/>
    <w:rsid w:val="009E5859"/>
    <w:rsid w:val="00A52719"/>
    <w:rsid w:val="00AA2C5F"/>
    <w:rsid w:val="00AC0285"/>
    <w:rsid w:val="00AC1D84"/>
    <w:rsid w:val="00AC7B9E"/>
    <w:rsid w:val="00B21BAC"/>
    <w:rsid w:val="00B43D94"/>
    <w:rsid w:val="00B538D3"/>
    <w:rsid w:val="00B61200"/>
    <w:rsid w:val="00B64198"/>
    <w:rsid w:val="00B70A5D"/>
    <w:rsid w:val="00B813B4"/>
    <w:rsid w:val="00B902C8"/>
    <w:rsid w:val="00B94A95"/>
    <w:rsid w:val="00BB11EA"/>
    <w:rsid w:val="00BE2359"/>
    <w:rsid w:val="00BF01AC"/>
    <w:rsid w:val="00C0096E"/>
    <w:rsid w:val="00C1049E"/>
    <w:rsid w:val="00C108A0"/>
    <w:rsid w:val="00C23724"/>
    <w:rsid w:val="00C315D9"/>
    <w:rsid w:val="00C36499"/>
    <w:rsid w:val="00C37C96"/>
    <w:rsid w:val="00C65EE5"/>
    <w:rsid w:val="00C75B07"/>
    <w:rsid w:val="00C84127"/>
    <w:rsid w:val="00C9661D"/>
    <w:rsid w:val="00C96B2C"/>
    <w:rsid w:val="00CD2E2A"/>
    <w:rsid w:val="00CF5053"/>
    <w:rsid w:val="00D22AC1"/>
    <w:rsid w:val="00D305A4"/>
    <w:rsid w:val="00D30821"/>
    <w:rsid w:val="00D62E9C"/>
    <w:rsid w:val="00D6372B"/>
    <w:rsid w:val="00D70E09"/>
    <w:rsid w:val="00D775A6"/>
    <w:rsid w:val="00D97C6A"/>
    <w:rsid w:val="00DA0CF6"/>
    <w:rsid w:val="00DA3386"/>
    <w:rsid w:val="00DB34BF"/>
    <w:rsid w:val="00E02E33"/>
    <w:rsid w:val="00E13EE4"/>
    <w:rsid w:val="00E2764E"/>
    <w:rsid w:val="00E5471C"/>
    <w:rsid w:val="00E63AFC"/>
    <w:rsid w:val="00E90B8E"/>
    <w:rsid w:val="00EB62EF"/>
    <w:rsid w:val="00EC6B6E"/>
    <w:rsid w:val="00ED1686"/>
    <w:rsid w:val="00ED4DB8"/>
    <w:rsid w:val="00ED7637"/>
    <w:rsid w:val="00F005DC"/>
    <w:rsid w:val="00F17F03"/>
    <w:rsid w:val="00F553D2"/>
    <w:rsid w:val="00F61E5A"/>
    <w:rsid w:val="00F949F3"/>
    <w:rsid w:val="00FA275F"/>
    <w:rsid w:val="00FB27EC"/>
    <w:rsid w:val="00FE5686"/>
    <w:rsid w:val="00FF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83BEE-1A5A-4A3C-869C-65DB888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7EC"/>
    <w:rPr>
      <w:rFonts w:ascii="Times New Roman" w:eastAsia="Times New Roman" w:hAnsi="Times New Roman"/>
      <w:sz w:val="24"/>
      <w:szCs w:val="24"/>
      <w:lang w:val="en-US" w:eastAsia="en-US"/>
    </w:rPr>
  </w:style>
  <w:style w:type="paragraph" w:styleId="1">
    <w:name w:val="heading 1"/>
    <w:aliases w:val="h1"/>
    <w:basedOn w:val="a"/>
    <w:next w:val="a"/>
    <w:link w:val="1Char"/>
    <w:uiPriority w:val="99"/>
    <w:qFormat/>
    <w:rsid w:val="00752B25"/>
    <w:pPr>
      <w:keepNext/>
      <w:jc w:val="center"/>
      <w:outlineLvl w:val="0"/>
    </w:pPr>
    <w:rPr>
      <w:rFonts w:ascii="Arial" w:hAnsi="Arial"/>
      <w:b/>
      <w:bCs/>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uiPriority w:val="99"/>
    <w:locked/>
    <w:rsid w:val="00752B25"/>
    <w:rPr>
      <w:rFonts w:ascii="Arial" w:hAnsi="Arial"/>
      <w:b/>
      <w:sz w:val="24"/>
      <w:lang w:val="el-GR"/>
    </w:rPr>
  </w:style>
  <w:style w:type="paragraph" w:styleId="a3">
    <w:name w:val="List Paragraph"/>
    <w:basedOn w:val="a"/>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a4">
    <w:name w:val="annotation text"/>
    <w:basedOn w:val="a"/>
    <w:link w:val="Char"/>
    <w:uiPriority w:val="99"/>
    <w:semiHidden/>
    <w:unhideWhenUsed/>
    <w:rsid w:val="00C96B2C"/>
  </w:style>
  <w:style w:type="character" w:customStyle="1" w:styleId="Char">
    <w:name w:val="Κείμενο σχολίου Char"/>
    <w:basedOn w:val="a0"/>
    <w:link w:val="a4"/>
    <w:uiPriority w:val="99"/>
    <w:semiHidden/>
    <w:rsid w:val="00C96B2C"/>
    <w:rPr>
      <w:rFonts w:ascii="Times New Roman" w:eastAsia="Times New Roman" w:hAnsi="Times New Roman"/>
      <w:sz w:val="24"/>
      <w:szCs w:val="24"/>
      <w:lang w:val="en-US" w:eastAsia="en-US"/>
    </w:rPr>
  </w:style>
  <w:style w:type="character" w:styleId="a5">
    <w:name w:val="annotation reference"/>
    <w:uiPriority w:val="99"/>
    <w:semiHidden/>
    <w:unhideWhenUsed/>
    <w:rsid w:val="00C96B2C"/>
    <w:rPr>
      <w:sz w:val="16"/>
      <w:szCs w:val="16"/>
    </w:rPr>
  </w:style>
  <w:style w:type="paragraph" w:styleId="a6">
    <w:name w:val="Balloon Text"/>
    <w:basedOn w:val="a"/>
    <w:link w:val="Char0"/>
    <w:uiPriority w:val="99"/>
    <w:semiHidden/>
    <w:unhideWhenUsed/>
    <w:rsid w:val="00C96B2C"/>
    <w:rPr>
      <w:rFonts w:ascii="Lucida Grande" w:hAnsi="Lucida Grande" w:cs="Lucida Grande"/>
      <w:sz w:val="18"/>
      <w:szCs w:val="18"/>
    </w:rPr>
  </w:style>
  <w:style w:type="character" w:customStyle="1" w:styleId="Char0">
    <w:name w:val="Κείμενο πλαισίου Char"/>
    <w:basedOn w:val="a0"/>
    <w:link w:val="a6"/>
    <w:uiPriority w:val="99"/>
    <w:semiHidden/>
    <w:rsid w:val="00C96B2C"/>
    <w:rPr>
      <w:rFonts w:ascii="Lucida Grande" w:eastAsia="Times New Roman" w:hAnsi="Lucida Grande" w:cs="Lucida Grande"/>
      <w:sz w:val="18"/>
      <w:szCs w:val="18"/>
      <w:lang w:val="en-US" w:eastAsia="en-US"/>
    </w:rPr>
  </w:style>
  <w:style w:type="character" w:styleId="-">
    <w:name w:val="Hyperlink"/>
    <w:basedOn w:val="a0"/>
    <w:uiPriority w:val="99"/>
    <w:unhideWhenUsed/>
    <w:rsid w:val="0065110D"/>
    <w:rPr>
      <w:color w:val="0000FF" w:themeColor="hyperlink"/>
      <w:u w:val="single"/>
    </w:rPr>
  </w:style>
  <w:style w:type="paragraph" w:styleId="a7">
    <w:name w:val="footnote text"/>
    <w:basedOn w:val="a"/>
    <w:link w:val="Char1"/>
    <w:uiPriority w:val="99"/>
    <w:unhideWhenUsed/>
    <w:qFormat/>
    <w:rsid w:val="0065110D"/>
  </w:style>
  <w:style w:type="character" w:customStyle="1" w:styleId="Char1">
    <w:name w:val="Κείμενο υποσημείωσης Char"/>
    <w:basedOn w:val="a0"/>
    <w:link w:val="a7"/>
    <w:uiPriority w:val="99"/>
    <w:rsid w:val="0065110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1336</Characters>
  <Application>Microsoft Office Word</Application>
  <DocSecurity>0</DocSecurity>
  <Lines>11</Lines>
  <Paragraphs>3</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Course title</vt:lpstr>
      <vt:lpstr>Course title</vt:lpstr>
      <vt:lpstr>Course title</vt:lpstr>
    </vt:vector>
  </TitlesOfParts>
  <Company>European University Cyprus</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Vassilis Karagiannis</cp:lastModifiedBy>
  <cp:revision>8</cp:revision>
  <cp:lastPrinted>2015-02-18T11:13:00Z</cp:lastPrinted>
  <dcterms:created xsi:type="dcterms:W3CDTF">2017-05-24T10:38:00Z</dcterms:created>
  <dcterms:modified xsi:type="dcterms:W3CDTF">2017-06-09T12:02:00Z</dcterms:modified>
</cp:coreProperties>
</file>